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p w14:paraId="4AAEEF61" w14:textId="77777777" w:rsidR="009967D2" w:rsidRPr="001713F7" w:rsidRDefault="009967D2" w:rsidP="00D83A74">
      <w:pPr>
        <w:spacing w:after="0" w:line="240" w:lineRule="auto"/>
        <w:ind w:left="360" w:hanging="360"/>
        <w:rPr>
          <w:rFonts w:ascii="Times New Roman" w:hAnsi="Times New Roman" w:cs="Times New Roman"/>
          <w:color w:val="0A2F41" w:themeColor="accent1" w:themeShade="80"/>
        </w:rPr>
      </w:pPr>
    </w:p>
    <w:p w14:paraId="1DACE405" w14:textId="36131A0F" w:rsidR="009967D2" w:rsidRPr="001713F7" w:rsidRDefault="009967D2" w:rsidP="00D83A74">
      <w:pPr>
        <w:pStyle w:val="ListParagraph"/>
        <w:numPr>
          <w:ilvl w:val="0"/>
          <w:numId w:val="1"/>
        </w:numPr>
        <w:spacing w:after="0" w:line="240" w:lineRule="auto"/>
        <w:rPr>
          <w:rFonts w:ascii="Times New Roman" w:hAnsi="Times New Roman" w:cs="Times New Roman"/>
          <w:b/>
          <w:bCs/>
          <w:color w:val="0A2F41" w:themeColor="accent1" w:themeShade="80"/>
        </w:rPr>
      </w:pPr>
      <w:r w:rsidRPr="001713F7">
        <w:rPr>
          <w:rFonts w:ascii="Times New Roman" w:hAnsi="Times New Roman" w:cs="Times New Roman"/>
          <w:b/>
          <w:bCs/>
          <w:color w:val="0A2F41" w:themeColor="accent1" w:themeShade="80"/>
        </w:rPr>
        <w:t>Composite Benefits Rates</w:t>
      </w:r>
    </w:p>
    <w:p w14:paraId="10145ACB" w14:textId="77777777" w:rsidR="009967D2" w:rsidRPr="001713F7" w:rsidRDefault="009967D2" w:rsidP="00D83A74">
      <w:pPr>
        <w:pStyle w:val="ListParagraph"/>
        <w:spacing w:after="0" w:line="240" w:lineRule="auto"/>
        <w:ind w:left="360"/>
        <w:rPr>
          <w:rFonts w:ascii="Times New Roman" w:hAnsi="Times New Roman" w:cs="Times New Roman"/>
          <w:b/>
          <w:bCs/>
          <w:color w:val="0A2F41" w:themeColor="accent1" w:themeShade="80"/>
        </w:rPr>
      </w:pPr>
    </w:p>
    <w:p w14:paraId="1FD7E5F3" w14:textId="16733F6B" w:rsidR="009967D2" w:rsidRPr="001713F7" w:rsidRDefault="009967D2" w:rsidP="00D83A74">
      <w:pPr>
        <w:pStyle w:val="ListParagraph"/>
        <w:spacing w:after="0" w:line="240" w:lineRule="auto"/>
        <w:ind w:left="360"/>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Composite Benefit Rate (CBR) is a standardized percentage applied to an employee's salary to estimate the cost of fringe benefits, rather than calculating actual benefit costs for each individual. This approach simplifies budgeting and ensures consistency across the university.</w:t>
      </w:r>
    </w:p>
    <w:p w14:paraId="69742C58" w14:textId="77777777" w:rsidR="009967D2" w:rsidRPr="001713F7" w:rsidRDefault="009967D2" w:rsidP="00D83A74">
      <w:pPr>
        <w:pStyle w:val="ListParagraph"/>
        <w:spacing w:after="0" w:line="240" w:lineRule="auto"/>
        <w:ind w:left="360"/>
        <w:rPr>
          <w:rFonts w:ascii="Times New Roman" w:hAnsi="Times New Roman" w:cs="Times New Roman"/>
          <w:color w:val="0A2F41" w:themeColor="accent1" w:themeShade="80"/>
        </w:rPr>
      </w:pPr>
    </w:p>
    <w:p w14:paraId="7B835EA6" w14:textId="77777777" w:rsidR="009967D2" w:rsidRPr="001713F7" w:rsidRDefault="00241DDC" w:rsidP="00D83A74">
      <w:pPr>
        <w:pStyle w:val="ListParagraph"/>
        <w:numPr>
          <w:ilvl w:val="0"/>
          <w:numId w:val="1"/>
        </w:numPr>
        <w:spacing w:after="0" w:line="240" w:lineRule="auto"/>
        <w:rPr>
          <w:rFonts w:ascii="Times New Roman" w:hAnsi="Times New Roman" w:cs="Times New Roman"/>
          <w:b/>
          <w:bCs/>
          <w:color w:val="0A2F41" w:themeColor="accent1" w:themeShade="80"/>
        </w:rPr>
      </w:pPr>
      <w:r w:rsidRPr="001713F7">
        <w:rPr>
          <w:rFonts w:ascii="Times New Roman" w:hAnsi="Times New Roman" w:cs="Times New Roman"/>
          <w:b/>
          <w:bCs/>
          <w:color w:val="0A2F41" w:themeColor="accent1" w:themeShade="80"/>
        </w:rPr>
        <w:t>Overview of Benefits Funding for Perm Core Employee FTE</w:t>
      </w:r>
    </w:p>
    <w:p w14:paraId="30A78FCC" w14:textId="77777777" w:rsidR="009967D2" w:rsidRPr="001713F7" w:rsidRDefault="009967D2" w:rsidP="00D83A74">
      <w:pPr>
        <w:pStyle w:val="ListParagraph"/>
        <w:spacing w:after="0" w:line="240" w:lineRule="auto"/>
        <w:ind w:left="360"/>
        <w:rPr>
          <w:rFonts w:ascii="Times New Roman" w:hAnsi="Times New Roman" w:cs="Times New Roman"/>
          <w:b/>
          <w:bCs/>
          <w:color w:val="0A2F41" w:themeColor="accent1" w:themeShade="80"/>
        </w:rPr>
      </w:pPr>
    </w:p>
    <w:p w14:paraId="5B5090C6" w14:textId="2993AA4A" w:rsidR="00A16E9E" w:rsidRPr="001713F7" w:rsidRDefault="00A16E9E" w:rsidP="00D83A74">
      <w:pPr>
        <w:pStyle w:val="ListParagraph"/>
        <w:spacing w:after="0" w:line="240" w:lineRule="auto"/>
        <w:ind w:left="360"/>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 xml:space="preserve">Funding for CBR costs is provided for centrally funded Full-Time Equivalent </w:t>
      </w:r>
      <w:r w:rsidR="001B149A" w:rsidRPr="001713F7">
        <w:rPr>
          <w:rFonts w:ascii="Times New Roman" w:hAnsi="Times New Roman" w:cs="Times New Roman"/>
          <w:color w:val="0A2F41" w:themeColor="accent1" w:themeShade="80"/>
        </w:rPr>
        <w:t xml:space="preserve">(FTE) </w:t>
      </w:r>
      <w:r w:rsidRPr="001713F7">
        <w:rPr>
          <w:rFonts w:ascii="Times New Roman" w:hAnsi="Times New Roman" w:cs="Times New Roman"/>
          <w:i/>
          <w:iCs/>
          <w:color w:val="0A2F41" w:themeColor="accent1" w:themeShade="80"/>
        </w:rPr>
        <w:t xml:space="preserve">filled </w:t>
      </w:r>
      <w:r w:rsidR="008C0EA1" w:rsidRPr="001713F7">
        <w:rPr>
          <w:rFonts w:ascii="Times New Roman" w:hAnsi="Times New Roman" w:cs="Times New Roman"/>
          <w:i/>
          <w:iCs/>
          <w:color w:val="0A2F41" w:themeColor="accent1" w:themeShade="80"/>
        </w:rPr>
        <w:t>(as opposed to unfilled</w:t>
      </w:r>
      <w:r w:rsidR="001B149A" w:rsidRPr="001713F7">
        <w:rPr>
          <w:rFonts w:ascii="Times New Roman" w:hAnsi="Times New Roman" w:cs="Times New Roman"/>
          <w:i/>
          <w:iCs/>
          <w:color w:val="0A2F41" w:themeColor="accent1" w:themeShade="80"/>
        </w:rPr>
        <w:t xml:space="preserve">) </w:t>
      </w:r>
      <w:r w:rsidRPr="001713F7">
        <w:rPr>
          <w:rFonts w:ascii="Times New Roman" w:hAnsi="Times New Roman" w:cs="Times New Roman"/>
          <w:color w:val="0A2F41" w:themeColor="accent1" w:themeShade="80"/>
        </w:rPr>
        <w:t xml:space="preserve">positions on permanent core funds 19900,19912,19924,19942, and 67000 (hereafter referred to as Filled Core FTE). </w:t>
      </w:r>
    </w:p>
    <w:p w14:paraId="6905148B" w14:textId="77777777" w:rsidR="00A16E9E" w:rsidRPr="001713F7" w:rsidRDefault="00A16E9E" w:rsidP="00D83A74">
      <w:pPr>
        <w:pStyle w:val="ListParagraph"/>
        <w:spacing w:after="0" w:line="240" w:lineRule="auto"/>
        <w:ind w:left="360"/>
        <w:rPr>
          <w:rFonts w:ascii="Times New Roman" w:hAnsi="Times New Roman" w:cs="Times New Roman"/>
          <w:color w:val="0A2F41" w:themeColor="accent1" w:themeShade="80"/>
        </w:rPr>
      </w:pPr>
    </w:p>
    <w:p w14:paraId="05DF7876" w14:textId="18BB87CA" w:rsidR="00A16E9E" w:rsidRPr="001713F7" w:rsidRDefault="00A16E9E" w:rsidP="00D83A74">
      <w:pPr>
        <w:pStyle w:val="ListParagraph"/>
        <w:spacing w:after="0" w:line="240" w:lineRule="auto"/>
        <w:ind w:left="360"/>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 xml:space="preserve">When there are salary increases for salary actions funded by central, funding is also provided to cover the related cost of benefits for filled core FTE. Funding is also provided for year-to-year changes in CBR rates and </w:t>
      </w:r>
      <w:r w:rsidR="00BF499B" w:rsidRPr="001713F7">
        <w:rPr>
          <w:rFonts w:ascii="Times New Roman" w:hAnsi="Times New Roman" w:cs="Times New Roman"/>
          <w:color w:val="0A2F41" w:themeColor="accent1" w:themeShade="80"/>
        </w:rPr>
        <w:t>change</w:t>
      </w:r>
      <w:r w:rsidR="004825DA" w:rsidRPr="001713F7">
        <w:rPr>
          <w:rFonts w:ascii="Times New Roman" w:hAnsi="Times New Roman" w:cs="Times New Roman"/>
          <w:color w:val="0A2F41" w:themeColor="accent1" w:themeShade="80"/>
        </w:rPr>
        <w:t>s</w:t>
      </w:r>
      <w:r w:rsidR="00BF499B" w:rsidRPr="001713F7">
        <w:rPr>
          <w:rFonts w:ascii="Times New Roman" w:hAnsi="Times New Roman" w:cs="Times New Roman"/>
          <w:color w:val="0A2F41" w:themeColor="accent1" w:themeShade="80"/>
        </w:rPr>
        <w:t xml:space="preserve"> in</w:t>
      </w:r>
      <w:r w:rsidR="004825DA" w:rsidRPr="001713F7">
        <w:rPr>
          <w:rFonts w:ascii="Times New Roman" w:hAnsi="Times New Roman" w:cs="Times New Roman"/>
          <w:color w:val="0A2F41" w:themeColor="accent1" w:themeShade="80"/>
        </w:rPr>
        <w:t xml:space="preserve"> </w:t>
      </w:r>
      <w:r w:rsidR="00BF499B" w:rsidRPr="001713F7">
        <w:rPr>
          <w:rFonts w:ascii="Times New Roman" w:hAnsi="Times New Roman" w:cs="Times New Roman"/>
          <w:color w:val="0A2F41" w:themeColor="accent1" w:themeShade="80"/>
        </w:rPr>
        <w:t>filled</w:t>
      </w:r>
      <w:r w:rsidR="004A61D3" w:rsidRPr="001713F7">
        <w:rPr>
          <w:rFonts w:ascii="Times New Roman" w:hAnsi="Times New Roman" w:cs="Times New Roman"/>
          <w:color w:val="0A2F41" w:themeColor="accent1" w:themeShade="80"/>
        </w:rPr>
        <w:t xml:space="preserve"> core</w:t>
      </w:r>
      <w:r w:rsidR="00BF499B" w:rsidRPr="001713F7">
        <w:rPr>
          <w:rFonts w:ascii="Times New Roman" w:hAnsi="Times New Roman" w:cs="Times New Roman"/>
          <w:color w:val="0A2F41" w:themeColor="accent1" w:themeShade="80"/>
        </w:rPr>
        <w:t xml:space="preserve"> </w:t>
      </w:r>
      <w:r w:rsidR="004825DA" w:rsidRPr="001713F7">
        <w:rPr>
          <w:rFonts w:ascii="Times New Roman" w:hAnsi="Times New Roman" w:cs="Times New Roman"/>
          <w:color w:val="0A2F41" w:themeColor="accent1" w:themeShade="80"/>
        </w:rPr>
        <w:t>FTE</w:t>
      </w:r>
      <w:r w:rsidR="00BF499B" w:rsidRPr="001713F7">
        <w:rPr>
          <w:rFonts w:ascii="Times New Roman" w:hAnsi="Times New Roman" w:cs="Times New Roman"/>
          <w:color w:val="0A2F41" w:themeColor="accent1" w:themeShade="80"/>
        </w:rPr>
        <w:t>.</w:t>
      </w:r>
    </w:p>
    <w:p w14:paraId="7A3838DF" w14:textId="77777777" w:rsidR="00A16E9E" w:rsidRPr="001713F7" w:rsidRDefault="00A16E9E" w:rsidP="00D83A74">
      <w:pPr>
        <w:pStyle w:val="ListParagraph"/>
        <w:spacing w:after="0" w:line="240" w:lineRule="auto"/>
        <w:ind w:left="360"/>
        <w:rPr>
          <w:rFonts w:ascii="Times New Roman" w:hAnsi="Times New Roman" w:cs="Times New Roman"/>
          <w:color w:val="0A2F41" w:themeColor="accent1" w:themeShade="80"/>
        </w:rPr>
      </w:pPr>
    </w:p>
    <w:p w14:paraId="1CF13682" w14:textId="3E6ECA19" w:rsidR="00A16E9E" w:rsidRPr="001713F7" w:rsidRDefault="00A16E9E" w:rsidP="00D83A74">
      <w:pPr>
        <w:pStyle w:val="ListParagraph"/>
        <w:spacing w:after="0" w:line="240" w:lineRule="auto"/>
        <w:ind w:left="360"/>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 xml:space="preserve">CBR funding </w:t>
      </w:r>
      <w:r w:rsidR="00295908" w:rsidRPr="001713F7">
        <w:rPr>
          <w:rFonts w:ascii="Times New Roman" w:hAnsi="Times New Roman" w:cs="Times New Roman"/>
          <w:color w:val="0A2F41" w:themeColor="accent1" w:themeShade="80"/>
        </w:rPr>
        <w:t xml:space="preserve">for filled positions paid from core funds </w:t>
      </w:r>
      <w:r w:rsidRPr="001713F7">
        <w:rPr>
          <w:rFonts w:ascii="Times New Roman" w:hAnsi="Times New Roman" w:cs="Times New Roman"/>
          <w:color w:val="0A2F41" w:themeColor="accent1" w:themeShade="80"/>
        </w:rPr>
        <w:t>is managed through two mechanisms: the CBR Mitigation Process and Costing Reports.</w:t>
      </w:r>
    </w:p>
    <w:p w14:paraId="1C6ECB9C" w14:textId="77777777" w:rsidR="00A16E9E" w:rsidRPr="001713F7" w:rsidRDefault="00A16E9E" w:rsidP="00D83A74">
      <w:pPr>
        <w:pStyle w:val="ListParagraph"/>
        <w:spacing w:after="0" w:line="240" w:lineRule="auto"/>
        <w:ind w:left="360"/>
        <w:rPr>
          <w:rFonts w:ascii="Times New Roman" w:hAnsi="Times New Roman" w:cs="Times New Roman"/>
          <w:color w:val="0A2F41" w:themeColor="accent1" w:themeShade="80"/>
        </w:rPr>
      </w:pPr>
    </w:p>
    <w:p w14:paraId="76AC6B14" w14:textId="48DA02A0" w:rsidR="00295908" w:rsidRPr="001713F7" w:rsidRDefault="00295908" w:rsidP="00D83A74">
      <w:pPr>
        <w:pStyle w:val="ListParagraph"/>
        <w:spacing w:after="0" w:line="240" w:lineRule="auto"/>
        <w:ind w:left="360"/>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CBR mitigation is a process used to ensure each organization (Org) has the right amount of permanent benefits budget to support filled positions paid from core funds.</w:t>
      </w:r>
    </w:p>
    <w:p w14:paraId="0A7C9E84" w14:textId="7F8D6DA7" w:rsidR="009967D2" w:rsidRPr="001713F7" w:rsidRDefault="009967D2" w:rsidP="00D83A74">
      <w:pPr>
        <w:spacing w:after="0" w:line="240" w:lineRule="auto"/>
        <w:ind w:left="360"/>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 xml:space="preserve">Costing Reports track salary increases throughout the year and </w:t>
      </w:r>
      <w:r w:rsidR="00295908" w:rsidRPr="001713F7">
        <w:rPr>
          <w:rFonts w:ascii="Times New Roman" w:hAnsi="Times New Roman" w:cs="Times New Roman"/>
          <w:color w:val="0A2F41" w:themeColor="accent1" w:themeShade="80"/>
        </w:rPr>
        <w:t>provide</w:t>
      </w:r>
      <w:r w:rsidRPr="001713F7">
        <w:rPr>
          <w:rFonts w:ascii="Times New Roman" w:hAnsi="Times New Roman" w:cs="Times New Roman"/>
          <w:color w:val="0A2F41" w:themeColor="accent1" w:themeShade="80"/>
        </w:rPr>
        <w:t xml:space="preserve"> budget augmentations needed to align an Org’s benefits budget with the </w:t>
      </w:r>
      <w:r w:rsidR="00295908" w:rsidRPr="001713F7">
        <w:rPr>
          <w:rFonts w:ascii="Times New Roman" w:hAnsi="Times New Roman" w:cs="Times New Roman"/>
          <w:color w:val="0A2F41" w:themeColor="accent1" w:themeShade="80"/>
        </w:rPr>
        <w:t>changes in</w:t>
      </w:r>
      <w:r w:rsidRPr="001713F7">
        <w:rPr>
          <w:rFonts w:ascii="Times New Roman" w:hAnsi="Times New Roman" w:cs="Times New Roman"/>
          <w:color w:val="0A2F41" w:themeColor="accent1" w:themeShade="80"/>
        </w:rPr>
        <w:t xml:space="preserve"> benefits costs </w:t>
      </w:r>
      <w:r w:rsidR="00295908" w:rsidRPr="001713F7">
        <w:rPr>
          <w:rFonts w:ascii="Times New Roman" w:hAnsi="Times New Roman" w:cs="Times New Roman"/>
          <w:color w:val="0A2F41" w:themeColor="accent1" w:themeShade="80"/>
        </w:rPr>
        <w:t>for</w:t>
      </w:r>
      <w:r w:rsidRPr="001713F7">
        <w:rPr>
          <w:rFonts w:ascii="Times New Roman" w:hAnsi="Times New Roman" w:cs="Times New Roman"/>
          <w:color w:val="0A2F41" w:themeColor="accent1" w:themeShade="80"/>
        </w:rPr>
        <w:t xml:space="preserve"> </w:t>
      </w:r>
      <w:r w:rsidR="00295908" w:rsidRPr="001713F7">
        <w:rPr>
          <w:rFonts w:ascii="Times New Roman" w:hAnsi="Times New Roman" w:cs="Times New Roman"/>
          <w:color w:val="0A2F41" w:themeColor="accent1" w:themeShade="80"/>
        </w:rPr>
        <w:t>Filled Core FTE.</w:t>
      </w:r>
    </w:p>
    <w:p w14:paraId="45ED555F" w14:textId="77777777" w:rsidR="0055082D" w:rsidRPr="001713F7" w:rsidRDefault="0055082D" w:rsidP="00D83A74">
      <w:pPr>
        <w:spacing w:after="0" w:line="240" w:lineRule="auto"/>
        <w:ind w:left="360"/>
        <w:rPr>
          <w:rFonts w:ascii="Times New Roman" w:hAnsi="Times New Roman" w:cs="Times New Roman"/>
          <w:color w:val="0A2F41" w:themeColor="accent1" w:themeShade="80"/>
        </w:rPr>
      </w:pPr>
    </w:p>
    <w:p w14:paraId="7CCB1DC2" w14:textId="3AC1FB37" w:rsidR="00295908" w:rsidRPr="001713F7" w:rsidRDefault="00295908" w:rsidP="00D83A74">
      <w:pPr>
        <w:spacing w:after="0" w:line="240" w:lineRule="auto"/>
        <w:ind w:left="360"/>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Benefits budgets are pooled together into what’s called the Benefits Pool, which includes all permanent budget in benefit categories BC20 and BC30 within core funds. It doesn’t matter what other COA elements are tied to the budget (like activity or function)—if it’s in BC20 or BC30 and from one of those core funds, it’s part of the pool.</w:t>
      </w:r>
    </w:p>
    <w:p w14:paraId="7051CB67" w14:textId="77777777" w:rsidR="00387A0D" w:rsidRPr="001713F7" w:rsidRDefault="00387A0D" w:rsidP="00D83A74">
      <w:pPr>
        <w:pStyle w:val="ListParagraph"/>
        <w:spacing w:after="0" w:line="240" w:lineRule="auto"/>
        <w:ind w:left="1080"/>
        <w:rPr>
          <w:rFonts w:ascii="Times New Roman" w:hAnsi="Times New Roman" w:cs="Times New Roman"/>
          <w:color w:val="0A2F41" w:themeColor="accent1" w:themeShade="80"/>
        </w:rPr>
      </w:pPr>
    </w:p>
    <w:p w14:paraId="3842E278" w14:textId="105DAC71" w:rsidR="00387A0D" w:rsidRPr="001713F7" w:rsidRDefault="00387A0D" w:rsidP="00D83A74">
      <w:pPr>
        <w:pStyle w:val="ListParagraph"/>
        <w:numPr>
          <w:ilvl w:val="0"/>
          <w:numId w:val="1"/>
        </w:numPr>
        <w:spacing w:after="0" w:line="240" w:lineRule="auto"/>
        <w:rPr>
          <w:rFonts w:ascii="Times New Roman" w:hAnsi="Times New Roman" w:cs="Times New Roman"/>
          <w:b/>
          <w:bCs/>
          <w:color w:val="0A2F41" w:themeColor="accent1" w:themeShade="80"/>
        </w:rPr>
      </w:pPr>
      <w:r w:rsidRPr="001713F7">
        <w:rPr>
          <w:rFonts w:ascii="Times New Roman" w:hAnsi="Times New Roman" w:cs="Times New Roman"/>
          <w:b/>
          <w:bCs/>
          <w:color w:val="0A2F41" w:themeColor="accent1" w:themeShade="80"/>
        </w:rPr>
        <w:t>CBR Mitigation Process</w:t>
      </w:r>
    </w:p>
    <w:p w14:paraId="24BD0426" w14:textId="77777777" w:rsidR="00387A0D" w:rsidRPr="001713F7" w:rsidRDefault="00387A0D" w:rsidP="00D83A74">
      <w:pPr>
        <w:pStyle w:val="ListParagraph"/>
        <w:spacing w:after="0" w:line="240" w:lineRule="auto"/>
        <w:ind w:left="360"/>
        <w:rPr>
          <w:rFonts w:ascii="Times New Roman" w:hAnsi="Times New Roman" w:cs="Times New Roman"/>
          <w:b/>
          <w:bCs/>
          <w:color w:val="0A2F41" w:themeColor="accent1" w:themeShade="80"/>
        </w:rPr>
      </w:pPr>
    </w:p>
    <w:p w14:paraId="03571C6E" w14:textId="79BFFDAB" w:rsidR="006E5BD3" w:rsidRPr="001713F7" w:rsidRDefault="00387A0D" w:rsidP="00D83A74">
      <w:pPr>
        <w:pStyle w:val="ListParagraph"/>
        <w:spacing w:after="0" w:line="240" w:lineRule="auto"/>
        <w:ind w:left="360"/>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The CBR mitigation process is the process by which we calculate and establish the</w:t>
      </w:r>
      <w:r w:rsidR="006E5BD3" w:rsidRPr="001713F7">
        <w:rPr>
          <w:rFonts w:ascii="Times New Roman" w:hAnsi="Times New Roman" w:cs="Times New Roman"/>
          <w:color w:val="0A2F41" w:themeColor="accent1" w:themeShade="80"/>
        </w:rPr>
        <w:t xml:space="preserve"> </w:t>
      </w:r>
      <w:r w:rsidRPr="001713F7">
        <w:rPr>
          <w:rFonts w:ascii="Times New Roman" w:hAnsi="Times New Roman" w:cs="Times New Roman"/>
          <w:color w:val="0A2F41" w:themeColor="accent1" w:themeShade="80"/>
        </w:rPr>
        <w:t xml:space="preserve">benefits base budget for each Org each year. This is done using </w:t>
      </w:r>
      <w:r w:rsidR="00295908" w:rsidRPr="001713F7">
        <w:rPr>
          <w:rFonts w:ascii="Times New Roman" w:hAnsi="Times New Roman" w:cs="Times New Roman"/>
          <w:color w:val="0A2F41" w:themeColor="accent1" w:themeShade="80"/>
        </w:rPr>
        <w:t xml:space="preserve">a snapshot of </w:t>
      </w:r>
      <w:r w:rsidRPr="001713F7">
        <w:rPr>
          <w:rFonts w:ascii="Times New Roman" w:hAnsi="Times New Roman" w:cs="Times New Roman"/>
          <w:color w:val="0A2F41" w:themeColor="accent1" w:themeShade="80"/>
        </w:rPr>
        <w:t xml:space="preserve">current </w:t>
      </w:r>
      <w:r w:rsidR="006E5BD3" w:rsidRPr="001713F7">
        <w:rPr>
          <w:rFonts w:ascii="Times New Roman" w:hAnsi="Times New Roman" w:cs="Times New Roman"/>
          <w:color w:val="0A2F41" w:themeColor="accent1" w:themeShade="80"/>
        </w:rPr>
        <w:t>year’s</w:t>
      </w:r>
      <w:r w:rsidRPr="001713F7">
        <w:rPr>
          <w:rFonts w:ascii="Times New Roman" w:hAnsi="Times New Roman" w:cs="Times New Roman"/>
          <w:color w:val="0A2F41" w:themeColor="accent1" w:themeShade="80"/>
        </w:rPr>
        <w:t xml:space="preserve"> budget </w:t>
      </w:r>
      <w:r w:rsidR="00295908" w:rsidRPr="001713F7">
        <w:rPr>
          <w:rFonts w:ascii="Times New Roman" w:hAnsi="Times New Roman" w:cs="Times New Roman"/>
          <w:color w:val="0A2F41" w:themeColor="accent1" w:themeShade="80"/>
        </w:rPr>
        <w:t xml:space="preserve">data </w:t>
      </w:r>
      <w:r w:rsidRPr="001713F7">
        <w:rPr>
          <w:rFonts w:ascii="Times New Roman" w:hAnsi="Times New Roman" w:cs="Times New Roman"/>
          <w:color w:val="0A2F41" w:themeColor="accent1" w:themeShade="80"/>
        </w:rPr>
        <w:t xml:space="preserve">and </w:t>
      </w:r>
      <w:r w:rsidR="006E5BD3" w:rsidRPr="001713F7">
        <w:rPr>
          <w:rFonts w:ascii="Times New Roman" w:hAnsi="Times New Roman" w:cs="Times New Roman"/>
          <w:color w:val="0A2F41" w:themeColor="accent1" w:themeShade="80"/>
        </w:rPr>
        <w:t xml:space="preserve">Filled Core </w:t>
      </w:r>
      <w:r w:rsidR="009C052E" w:rsidRPr="001713F7">
        <w:rPr>
          <w:rFonts w:ascii="Times New Roman" w:hAnsi="Times New Roman" w:cs="Times New Roman"/>
          <w:color w:val="0A2F41" w:themeColor="accent1" w:themeShade="80"/>
        </w:rPr>
        <w:t>FTE data</w:t>
      </w:r>
      <w:r w:rsidRPr="001713F7">
        <w:rPr>
          <w:rFonts w:ascii="Times New Roman" w:hAnsi="Times New Roman" w:cs="Times New Roman"/>
          <w:color w:val="0A2F41" w:themeColor="accent1" w:themeShade="80"/>
        </w:rPr>
        <w:t xml:space="preserve"> to form the base for the next </w:t>
      </w:r>
      <w:r w:rsidR="006E5BD3" w:rsidRPr="001713F7">
        <w:rPr>
          <w:rFonts w:ascii="Times New Roman" w:hAnsi="Times New Roman" w:cs="Times New Roman"/>
          <w:color w:val="0A2F41" w:themeColor="accent1" w:themeShade="80"/>
        </w:rPr>
        <w:t xml:space="preserve">fiscal </w:t>
      </w:r>
      <w:r w:rsidRPr="001713F7">
        <w:rPr>
          <w:rFonts w:ascii="Times New Roman" w:hAnsi="Times New Roman" w:cs="Times New Roman"/>
          <w:color w:val="0A2F41" w:themeColor="accent1" w:themeShade="80"/>
        </w:rPr>
        <w:t>year.</w:t>
      </w:r>
    </w:p>
    <w:p w14:paraId="0C14F159" w14:textId="49CC65E1" w:rsidR="00387A0D" w:rsidRPr="001713F7" w:rsidRDefault="00887BC1" w:rsidP="00D83A74">
      <w:pPr>
        <w:pStyle w:val="ListParagraph"/>
        <w:spacing w:after="0" w:line="240" w:lineRule="auto"/>
        <w:ind w:left="360"/>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 xml:space="preserve">This process has </w:t>
      </w:r>
      <w:r w:rsidR="0074388F" w:rsidRPr="001713F7">
        <w:rPr>
          <w:rFonts w:ascii="Times New Roman" w:hAnsi="Times New Roman" w:cs="Times New Roman"/>
          <w:color w:val="0A2F41" w:themeColor="accent1" w:themeShade="80"/>
        </w:rPr>
        <w:t xml:space="preserve">three </w:t>
      </w:r>
      <w:r w:rsidR="006E5BD3" w:rsidRPr="001713F7">
        <w:rPr>
          <w:rFonts w:ascii="Times New Roman" w:hAnsi="Times New Roman" w:cs="Times New Roman"/>
          <w:color w:val="0A2F41" w:themeColor="accent1" w:themeShade="80"/>
        </w:rPr>
        <w:t>components</w:t>
      </w:r>
      <w:r w:rsidRPr="001713F7">
        <w:rPr>
          <w:rFonts w:ascii="Times New Roman" w:hAnsi="Times New Roman" w:cs="Times New Roman"/>
          <w:color w:val="0A2F41" w:themeColor="accent1" w:themeShade="80"/>
        </w:rPr>
        <w:t>, the CBR Mitigation Recon Template</w:t>
      </w:r>
      <w:r w:rsidR="0074388F" w:rsidRPr="001713F7">
        <w:rPr>
          <w:rFonts w:ascii="Times New Roman" w:hAnsi="Times New Roman" w:cs="Times New Roman"/>
          <w:color w:val="0A2F41" w:themeColor="accent1" w:themeShade="80"/>
        </w:rPr>
        <w:t>,</w:t>
      </w:r>
      <w:r w:rsidRPr="001713F7">
        <w:rPr>
          <w:rFonts w:ascii="Times New Roman" w:hAnsi="Times New Roman" w:cs="Times New Roman"/>
          <w:color w:val="0A2F41" w:themeColor="accent1" w:themeShade="80"/>
        </w:rPr>
        <w:t xml:space="preserve"> the Staffing Snapshot</w:t>
      </w:r>
      <w:r w:rsidR="0074388F" w:rsidRPr="001713F7">
        <w:rPr>
          <w:rFonts w:ascii="Times New Roman" w:hAnsi="Times New Roman" w:cs="Times New Roman"/>
          <w:color w:val="0A2F41" w:themeColor="accent1" w:themeShade="80"/>
        </w:rPr>
        <w:t>, and the Mitigation Table.</w:t>
      </w:r>
      <w:r w:rsidR="00703C5A" w:rsidRPr="001713F7">
        <w:rPr>
          <w:rFonts w:ascii="Times New Roman" w:hAnsi="Times New Roman" w:cs="Times New Roman"/>
          <w:color w:val="0A2F41" w:themeColor="accent1" w:themeShade="80"/>
        </w:rPr>
        <w:t xml:space="preserve"> </w:t>
      </w:r>
      <w:r w:rsidR="002C1EEC" w:rsidRPr="001713F7">
        <w:rPr>
          <w:rFonts w:ascii="Times New Roman" w:hAnsi="Times New Roman" w:cs="Times New Roman"/>
          <w:color w:val="0A2F41" w:themeColor="accent1" w:themeShade="80"/>
        </w:rPr>
        <w:t>These components may have updates</w:t>
      </w:r>
      <w:r w:rsidR="00A96EEC" w:rsidRPr="001713F7">
        <w:rPr>
          <w:rFonts w:ascii="Times New Roman" w:hAnsi="Times New Roman" w:cs="Times New Roman"/>
          <w:color w:val="0A2F41" w:themeColor="accent1" w:themeShade="80"/>
        </w:rPr>
        <w:t xml:space="preserve"> on implementation</w:t>
      </w:r>
      <w:r w:rsidR="002C1EEC" w:rsidRPr="001713F7">
        <w:rPr>
          <w:rFonts w:ascii="Times New Roman" w:hAnsi="Times New Roman" w:cs="Times New Roman"/>
          <w:color w:val="0A2F41" w:themeColor="accent1" w:themeShade="80"/>
        </w:rPr>
        <w:t xml:space="preserve"> year to year</w:t>
      </w:r>
      <w:r w:rsidR="009C052E" w:rsidRPr="001713F7">
        <w:rPr>
          <w:rFonts w:ascii="Times New Roman" w:hAnsi="Times New Roman" w:cs="Times New Roman"/>
          <w:color w:val="0A2F41" w:themeColor="accent1" w:themeShade="80"/>
        </w:rPr>
        <w:t>, but their intended use remains the same</w:t>
      </w:r>
      <w:r w:rsidR="002C1EEC" w:rsidRPr="001713F7">
        <w:rPr>
          <w:rFonts w:ascii="Times New Roman" w:hAnsi="Times New Roman" w:cs="Times New Roman"/>
          <w:color w:val="0A2F41" w:themeColor="accent1" w:themeShade="80"/>
        </w:rPr>
        <w:t>.</w:t>
      </w:r>
    </w:p>
    <w:p w14:paraId="358583C4" w14:textId="77777777" w:rsidR="00887BC1" w:rsidRPr="001713F7" w:rsidRDefault="00887BC1" w:rsidP="00D83A74">
      <w:pPr>
        <w:pStyle w:val="ListParagraph"/>
        <w:spacing w:after="0" w:line="240" w:lineRule="auto"/>
        <w:ind w:left="360"/>
        <w:rPr>
          <w:rFonts w:ascii="Times New Roman" w:hAnsi="Times New Roman" w:cs="Times New Roman"/>
          <w:color w:val="0A2F41" w:themeColor="accent1" w:themeShade="80"/>
        </w:rPr>
      </w:pPr>
    </w:p>
    <w:p w14:paraId="103580E4" w14:textId="7E1FE265" w:rsidR="00887BC1" w:rsidRPr="001713F7" w:rsidRDefault="00887BC1" w:rsidP="00D83A74">
      <w:pPr>
        <w:pStyle w:val="ListParagraph"/>
        <w:spacing w:after="0" w:line="240" w:lineRule="auto"/>
        <w:rPr>
          <w:rFonts w:ascii="Times New Roman" w:hAnsi="Times New Roman" w:cs="Times New Roman"/>
          <w:color w:val="0A2F41" w:themeColor="accent1" w:themeShade="80"/>
          <w:u w:val="single"/>
        </w:rPr>
      </w:pPr>
      <w:r w:rsidRPr="001713F7">
        <w:rPr>
          <w:rFonts w:ascii="Times New Roman" w:hAnsi="Times New Roman" w:cs="Times New Roman"/>
          <w:color w:val="0A2F41" w:themeColor="accent1" w:themeShade="80"/>
          <w:u w:val="single"/>
        </w:rPr>
        <w:t>CBR Mitigation Recon Template</w:t>
      </w:r>
    </w:p>
    <w:p w14:paraId="4D539199" w14:textId="77777777" w:rsidR="00887BC1" w:rsidRPr="001713F7" w:rsidRDefault="00887BC1" w:rsidP="00D83A74">
      <w:pPr>
        <w:pStyle w:val="ListParagraph"/>
        <w:spacing w:after="0" w:line="240" w:lineRule="auto"/>
        <w:rPr>
          <w:rFonts w:ascii="Times New Roman" w:hAnsi="Times New Roman" w:cs="Times New Roman"/>
          <w:color w:val="0A2F41" w:themeColor="accent1" w:themeShade="80"/>
        </w:rPr>
      </w:pPr>
    </w:p>
    <w:p w14:paraId="45FD45D3" w14:textId="75D1C241" w:rsidR="000E57B1" w:rsidRPr="001713F7" w:rsidRDefault="006E5BD3" w:rsidP="00D83A74">
      <w:pPr>
        <w:pStyle w:val="ListParagraph"/>
        <w:spacing w:after="0" w:line="240" w:lineRule="auto"/>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Funding for s</w:t>
      </w:r>
      <w:r w:rsidR="000E57B1" w:rsidRPr="001713F7">
        <w:rPr>
          <w:rFonts w:ascii="Times New Roman" w:hAnsi="Times New Roman" w:cs="Times New Roman"/>
          <w:color w:val="0A2F41" w:themeColor="accent1" w:themeShade="80"/>
        </w:rPr>
        <w:t xml:space="preserve">alary changes for </w:t>
      </w:r>
      <w:r w:rsidRPr="001713F7">
        <w:rPr>
          <w:rFonts w:ascii="Times New Roman" w:hAnsi="Times New Roman" w:cs="Times New Roman"/>
          <w:color w:val="0A2F41" w:themeColor="accent1" w:themeShade="80"/>
        </w:rPr>
        <w:t>core-funded</w:t>
      </w:r>
      <w:r w:rsidR="000E57B1" w:rsidRPr="001713F7">
        <w:rPr>
          <w:rFonts w:ascii="Times New Roman" w:hAnsi="Times New Roman" w:cs="Times New Roman"/>
          <w:color w:val="0A2F41" w:themeColor="accent1" w:themeShade="80"/>
        </w:rPr>
        <w:t xml:space="preserve"> employees </w:t>
      </w:r>
      <w:r w:rsidRPr="001713F7">
        <w:rPr>
          <w:rFonts w:ascii="Times New Roman" w:hAnsi="Times New Roman" w:cs="Times New Roman"/>
          <w:color w:val="0A2F41" w:themeColor="accent1" w:themeShade="80"/>
        </w:rPr>
        <w:t xml:space="preserve">and increases in FTE </w:t>
      </w:r>
      <w:r w:rsidR="000E57B1" w:rsidRPr="001713F7">
        <w:rPr>
          <w:rFonts w:ascii="Times New Roman" w:hAnsi="Times New Roman" w:cs="Times New Roman"/>
          <w:color w:val="0A2F41" w:themeColor="accent1" w:themeShade="80"/>
        </w:rPr>
        <w:t xml:space="preserve">that are not </w:t>
      </w:r>
      <w:r w:rsidRPr="001713F7">
        <w:rPr>
          <w:rFonts w:ascii="Times New Roman" w:hAnsi="Times New Roman" w:cs="Times New Roman"/>
          <w:color w:val="0A2F41" w:themeColor="accent1" w:themeShade="80"/>
        </w:rPr>
        <w:t>centrally</w:t>
      </w:r>
      <w:r w:rsidR="000E57B1" w:rsidRPr="001713F7">
        <w:rPr>
          <w:rFonts w:ascii="Times New Roman" w:hAnsi="Times New Roman" w:cs="Times New Roman"/>
          <w:color w:val="0A2F41" w:themeColor="accent1" w:themeShade="80"/>
        </w:rPr>
        <w:t xml:space="preserve"> funded (e.g., retentions, promotions, reclassifications</w:t>
      </w:r>
      <w:r w:rsidRPr="001713F7">
        <w:rPr>
          <w:rFonts w:ascii="Times New Roman" w:hAnsi="Times New Roman" w:cs="Times New Roman"/>
          <w:color w:val="0A2F41" w:themeColor="accent1" w:themeShade="80"/>
        </w:rPr>
        <w:t>, new positions</w:t>
      </w:r>
      <w:r w:rsidR="000E57B1" w:rsidRPr="001713F7">
        <w:rPr>
          <w:rFonts w:ascii="Times New Roman" w:hAnsi="Times New Roman" w:cs="Times New Roman"/>
          <w:color w:val="0A2F41" w:themeColor="accent1" w:themeShade="80"/>
        </w:rPr>
        <w:t xml:space="preserve">) must be </w:t>
      </w:r>
      <w:r w:rsidRPr="001713F7">
        <w:rPr>
          <w:rFonts w:ascii="Times New Roman" w:hAnsi="Times New Roman" w:cs="Times New Roman"/>
          <w:color w:val="0A2F41" w:themeColor="accent1" w:themeShade="80"/>
        </w:rPr>
        <w:t>provided</w:t>
      </w:r>
      <w:r w:rsidR="000E57B1" w:rsidRPr="001713F7">
        <w:rPr>
          <w:rFonts w:ascii="Times New Roman" w:hAnsi="Times New Roman" w:cs="Times New Roman"/>
          <w:color w:val="0A2F41" w:themeColor="accent1" w:themeShade="80"/>
        </w:rPr>
        <w:t xml:space="preserve"> by the Org. This includes both the salary and the related CBR costs.</w:t>
      </w:r>
    </w:p>
    <w:p w14:paraId="206C939C" w14:textId="77777777" w:rsidR="000E57B1" w:rsidRPr="001713F7" w:rsidRDefault="000E57B1" w:rsidP="00D83A74">
      <w:pPr>
        <w:pStyle w:val="ListParagraph"/>
        <w:spacing w:after="0" w:line="240" w:lineRule="auto"/>
        <w:rPr>
          <w:rFonts w:ascii="Times New Roman" w:hAnsi="Times New Roman" w:cs="Times New Roman"/>
          <w:color w:val="0A2F41" w:themeColor="accent1" w:themeShade="80"/>
        </w:rPr>
      </w:pPr>
    </w:p>
    <w:p w14:paraId="006786FE" w14:textId="5405FAA0" w:rsidR="000E57B1" w:rsidRPr="001713F7" w:rsidRDefault="000E57B1" w:rsidP="00D83A74">
      <w:pPr>
        <w:pStyle w:val="ListParagraph"/>
        <w:spacing w:after="0" w:line="240" w:lineRule="auto"/>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lastRenderedPageBreak/>
        <w:t xml:space="preserve">Orgs should allocate permanent funds into the benefits pool by moving budget from </w:t>
      </w:r>
      <w:r w:rsidR="006E5BD3" w:rsidRPr="001713F7">
        <w:rPr>
          <w:rFonts w:ascii="Times New Roman" w:hAnsi="Times New Roman" w:cs="Times New Roman"/>
          <w:color w:val="0A2F41" w:themeColor="accent1" w:themeShade="80"/>
        </w:rPr>
        <w:t>a non</w:t>
      </w:r>
      <w:r w:rsidRPr="001713F7">
        <w:rPr>
          <w:rFonts w:ascii="Times New Roman" w:hAnsi="Times New Roman" w:cs="Times New Roman"/>
          <w:color w:val="0A2F41" w:themeColor="accent1" w:themeShade="80"/>
        </w:rPr>
        <w:t>-benefits</w:t>
      </w:r>
      <w:r w:rsidR="00285546" w:rsidRPr="001713F7">
        <w:rPr>
          <w:rFonts w:ascii="Times New Roman" w:hAnsi="Times New Roman" w:cs="Times New Roman"/>
          <w:color w:val="0A2F41" w:themeColor="accent1" w:themeShade="80"/>
        </w:rPr>
        <w:t>/non-salary</w:t>
      </w:r>
      <w:r w:rsidRPr="001713F7">
        <w:rPr>
          <w:rFonts w:ascii="Times New Roman" w:hAnsi="Times New Roman" w:cs="Times New Roman"/>
          <w:color w:val="0A2F41" w:themeColor="accent1" w:themeShade="80"/>
        </w:rPr>
        <w:t xml:space="preserve"> BC into BC20 or BC30, as appropriate.</w:t>
      </w:r>
    </w:p>
    <w:p w14:paraId="1EB25E0C" w14:textId="77777777" w:rsidR="000E57B1" w:rsidRPr="001713F7" w:rsidRDefault="000E57B1" w:rsidP="00D83A74">
      <w:pPr>
        <w:pStyle w:val="ListParagraph"/>
        <w:spacing w:after="0" w:line="240" w:lineRule="auto"/>
        <w:rPr>
          <w:rFonts w:ascii="Times New Roman" w:hAnsi="Times New Roman" w:cs="Times New Roman"/>
          <w:color w:val="0A2F41" w:themeColor="accent1" w:themeShade="80"/>
        </w:rPr>
      </w:pPr>
    </w:p>
    <w:p w14:paraId="3BCEA670" w14:textId="77777777" w:rsidR="000E57B1" w:rsidRPr="001713F7" w:rsidRDefault="000E57B1" w:rsidP="00D83A74">
      <w:pPr>
        <w:pStyle w:val="ListParagraph"/>
        <w:spacing w:after="0" w:line="240" w:lineRule="auto"/>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The recon template is used to distinguish Org-funded salary changes and FTE increases from those funded by the CBO. It includes a set of questions that calculate any benefits budget the Org should have moved into the pool.</w:t>
      </w:r>
    </w:p>
    <w:p w14:paraId="01D3E1C5" w14:textId="77777777" w:rsidR="000E57B1" w:rsidRPr="001713F7" w:rsidRDefault="000E57B1" w:rsidP="00D83A74">
      <w:pPr>
        <w:pStyle w:val="ListParagraph"/>
        <w:spacing w:after="0" w:line="240" w:lineRule="auto"/>
        <w:rPr>
          <w:rFonts w:ascii="Times New Roman" w:hAnsi="Times New Roman" w:cs="Times New Roman"/>
          <w:color w:val="0A2F41" w:themeColor="accent1" w:themeShade="80"/>
        </w:rPr>
      </w:pPr>
    </w:p>
    <w:p w14:paraId="5E13C79F" w14:textId="2166DF4C" w:rsidR="00887BC1" w:rsidRPr="001713F7" w:rsidRDefault="000E57B1" w:rsidP="00D83A74">
      <w:pPr>
        <w:pStyle w:val="ListParagraph"/>
        <w:spacing w:after="0" w:line="240" w:lineRule="auto"/>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For example, if an Org creates a position funded from S&amp;E</w:t>
      </w:r>
      <w:r w:rsidR="005814C8" w:rsidRPr="001713F7">
        <w:rPr>
          <w:rFonts w:ascii="Times New Roman" w:hAnsi="Times New Roman" w:cs="Times New Roman"/>
          <w:color w:val="0A2F41" w:themeColor="accent1" w:themeShade="80"/>
        </w:rPr>
        <w:t xml:space="preserve"> on core funds</w:t>
      </w:r>
      <w:r w:rsidRPr="001713F7">
        <w:rPr>
          <w:rFonts w:ascii="Times New Roman" w:hAnsi="Times New Roman" w:cs="Times New Roman"/>
          <w:color w:val="0A2F41" w:themeColor="accent1" w:themeShade="80"/>
        </w:rPr>
        <w:t xml:space="preserve">, they must permanently budget for the full salary and benefits. Once the position is established, the central budget office will fund future salary </w:t>
      </w:r>
      <w:r w:rsidR="003D7DBE" w:rsidRPr="001713F7">
        <w:rPr>
          <w:rFonts w:ascii="Times New Roman" w:hAnsi="Times New Roman" w:cs="Times New Roman"/>
          <w:color w:val="0A2F41" w:themeColor="accent1" w:themeShade="80"/>
        </w:rPr>
        <w:t xml:space="preserve">and benefit </w:t>
      </w:r>
      <w:r w:rsidRPr="001713F7">
        <w:rPr>
          <w:rFonts w:ascii="Times New Roman" w:hAnsi="Times New Roman" w:cs="Times New Roman"/>
          <w:color w:val="0A2F41" w:themeColor="accent1" w:themeShade="80"/>
        </w:rPr>
        <w:t>increases</w:t>
      </w:r>
      <w:r w:rsidR="005814C8" w:rsidRPr="001713F7">
        <w:rPr>
          <w:rFonts w:ascii="Times New Roman" w:hAnsi="Times New Roman" w:cs="Times New Roman"/>
          <w:color w:val="0A2F41" w:themeColor="accent1" w:themeShade="80"/>
        </w:rPr>
        <w:t xml:space="preserve"> when there is a campus approved process and funding is available.</w:t>
      </w:r>
      <w:r w:rsidRPr="001713F7">
        <w:rPr>
          <w:rFonts w:ascii="Times New Roman" w:hAnsi="Times New Roman" w:cs="Times New Roman"/>
          <w:color w:val="0A2F41" w:themeColor="accent1" w:themeShade="80"/>
        </w:rPr>
        <w:t xml:space="preserve"> </w:t>
      </w:r>
    </w:p>
    <w:p w14:paraId="56183E81" w14:textId="77777777" w:rsidR="00887BC1" w:rsidRPr="001713F7" w:rsidRDefault="00887BC1" w:rsidP="00D83A74">
      <w:pPr>
        <w:pStyle w:val="ListParagraph"/>
        <w:spacing w:after="0" w:line="240" w:lineRule="auto"/>
        <w:ind w:left="360"/>
        <w:rPr>
          <w:rFonts w:ascii="Times New Roman" w:hAnsi="Times New Roman" w:cs="Times New Roman"/>
          <w:color w:val="0A2F41" w:themeColor="accent1" w:themeShade="80"/>
        </w:rPr>
      </w:pPr>
    </w:p>
    <w:p w14:paraId="00388F83" w14:textId="4E7F308E" w:rsidR="00887BC1" w:rsidRPr="001713F7" w:rsidRDefault="000E57B1" w:rsidP="00D83A74">
      <w:pPr>
        <w:pStyle w:val="ListParagraph"/>
        <w:spacing w:after="0" w:line="240" w:lineRule="auto"/>
        <w:ind w:left="360" w:firstLine="360"/>
        <w:rPr>
          <w:rFonts w:ascii="Times New Roman" w:hAnsi="Times New Roman" w:cs="Times New Roman"/>
          <w:color w:val="0A2F41" w:themeColor="accent1" w:themeShade="80"/>
          <w:u w:val="single"/>
        </w:rPr>
      </w:pPr>
      <w:r w:rsidRPr="001713F7">
        <w:rPr>
          <w:rFonts w:ascii="Times New Roman" w:hAnsi="Times New Roman" w:cs="Times New Roman"/>
          <w:color w:val="0A2F41" w:themeColor="accent1" w:themeShade="80"/>
          <w:u w:val="single"/>
        </w:rPr>
        <w:t>Staffing Snapshot</w:t>
      </w:r>
    </w:p>
    <w:p w14:paraId="4BA125E3" w14:textId="77777777" w:rsidR="00387A0D" w:rsidRPr="001713F7" w:rsidRDefault="00387A0D" w:rsidP="00D83A74">
      <w:pPr>
        <w:pStyle w:val="ListParagraph"/>
        <w:spacing w:after="0" w:line="240" w:lineRule="auto"/>
        <w:ind w:left="360"/>
        <w:rPr>
          <w:rFonts w:ascii="Times New Roman" w:hAnsi="Times New Roman" w:cs="Times New Roman"/>
          <w:color w:val="0A2F41" w:themeColor="accent1" w:themeShade="80"/>
        </w:rPr>
      </w:pPr>
    </w:p>
    <w:p w14:paraId="60C7B9C5" w14:textId="38B35326" w:rsidR="0074388F" w:rsidRPr="001713F7" w:rsidRDefault="0074388F" w:rsidP="00D83A74">
      <w:pPr>
        <w:pStyle w:val="ListParagraph"/>
        <w:spacing w:after="0" w:line="240" w:lineRule="auto"/>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To determine CBR costs for filled positions in the upcoming fiscal year, the CBO takes a snapshot of BDP data. Because positions and salaries change frequently, this snapshot captures a point in time showing filled and vacant positions on core funds.</w:t>
      </w:r>
      <w:r w:rsidR="00D64DD6" w:rsidRPr="001713F7">
        <w:rPr>
          <w:rFonts w:ascii="Times New Roman" w:hAnsi="Times New Roman" w:cs="Times New Roman"/>
          <w:color w:val="0A2F41" w:themeColor="accent1" w:themeShade="80"/>
        </w:rPr>
        <w:t xml:space="preserve"> </w:t>
      </w:r>
      <w:r w:rsidRPr="001713F7">
        <w:rPr>
          <w:rFonts w:ascii="Times New Roman" w:hAnsi="Times New Roman" w:cs="Times New Roman"/>
          <w:color w:val="0A2F41" w:themeColor="accent1" w:themeShade="80"/>
        </w:rPr>
        <w:t>The snapshot uses a calendar year view of benefits budgets rather than a fiscal year view and is timed to include major July 1 and October 1 salary actions. As a result, the snapshot date is typically the last working day of December.</w:t>
      </w:r>
    </w:p>
    <w:p w14:paraId="3BA12436" w14:textId="77777777" w:rsidR="0074388F" w:rsidRPr="001713F7" w:rsidRDefault="0074388F" w:rsidP="00D83A74">
      <w:pPr>
        <w:pStyle w:val="ListParagraph"/>
        <w:spacing w:after="0" w:line="240" w:lineRule="auto"/>
        <w:rPr>
          <w:rFonts w:ascii="Times New Roman" w:hAnsi="Times New Roman" w:cs="Times New Roman"/>
          <w:color w:val="0A2F41" w:themeColor="accent1" w:themeShade="80"/>
        </w:rPr>
      </w:pPr>
    </w:p>
    <w:p w14:paraId="43A18F72" w14:textId="65838E98" w:rsidR="0074388F" w:rsidRPr="001713F7" w:rsidRDefault="0074388F" w:rsidP="00D83A74">
      <w:pPr>
        <w:pStyle w:val="ListParagraph"/>
        <w:spacing w:after="0" w:line="240" w:lineRule="auto"/>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Orgs must review the snapshot and confirm the data is accurate through the snapshot date. This step is critical, as BDP data is often not updated promptly by the Org</w:t>
      </w:r>
      <w:r w:rsidR="00F3302F" w:rsidRPr="001713F7">
        <w:rPr>
          <w:rFonts w:ascii="Times New Roman" w:hAnsi="Times New Roman" w:cs="Times New Roman"/>
          <w:color w:val="0A2F41" w:themeColor="accent1" w:themeShade="80"/>
        </w:rPr>
        <w:t xml:space="preserve"> and the accuracy of the data will determine the accuracy of </w:t>
      </w:r>
      <w:r w:rsidR="00902050" w:rsidRPr="001713F7">
        <w:rPr>
          <w:rFonts w:ascii="Times New Roman" w:hAnsi="Times New Roman" w:cs="Times New Roman"/>
          <w:color w:val="0A2F41" w:themeColor="accent1" w:themeShade="80"/>
        </w:rPr>
        <w:t xml:space="preserve">funding for mitigation. </w:t>
      </w:r>
      <w:r w:rsidRPr="001713F7">
        <w:rPr>
          <w:rFonts w:ascii="Times New Roman" w:hAnsi="Times New Roman" w:cs="Times New Roman"/>
          <w:color w:val="0A2F41" w:themeColor="accent1" w:themeShade="80"/>
        </w:rPr>
        <w:t xml:space="preserve">Once units complete their review and edits, the CBO applies the CBR rates to estimate employee benefits costs for the next fiscal year. Orgs should also enter the same changes into BDP; however, for CBR mitigation we rely only on the </w:t>
      </w:r>
      <w:r w:rsidR="006E5BD3" w:rsidRPr="001713F7">
        <w:rPr>
          <w:rFonts w:ascii="Times New Roman" w:hAnsi="Times New Roman" w:cs="Times New Roman"/>
          <w:color w:val="0A2F41" w:themeColor="accent1" w:themeShade="80"/>
        </w:rPr>
        <w:t xml:space="preserve">staffing </w:t>
      </w:r>
      <w:r w:rsidRPr="001713F7">
        <w:rPr>
          <w:rFonts w:ascii="Times New Roman" w:hAnsi="Times New Roman" w:cs="Times New Roman"/>
          <w:color w:val="0A2F41" w:themeColor="accent1" w:themeShade="80"/>
        </w:rPr>
        <w:t xml:space="preserve">snapshot within the recon template, so any </w:t>
      </w:r>
      <w:r w:rsidR="006E5BD3" w:rsidRPr="001713F7">
        <w:rPr>
          <w:rFonts w:ascii="Times New Roman" w:hAnsi="Times New Roman" w:cs="Times New Roman"/>
          <w:color w:val="0A2F41" w:themeColor="accent1" w:themeShade="80"/>
        </w:rPr>
        <w:t xml:space="preserve">BDP </w:t>
      </w:r>
      <w:r w:rsidRPr="001713F7">
        <w:rPr>
          <w:rFonts w:ascii="Times New Roman" w:hAnsi="Times New Roman" w:cs="Times New Roman"/>
          <w:color w:val="0A2F41" w:themeColor="accent1" w:themeShade="80"/>
        </w:rPr>
        <w:t>actions after the snapshot date are not captured.</w:t>
      </w:r>
    </w:p>
    <w:p w14:paraId="10A57461" w14:textId="77777777" w:rsidR="00003BED" w:rsidRPr="001713F7" w:rsidRDefault="00003BED" w:rsidP="00D83A74">
      <w:pPr>
        <w:pStyle w:val="ListParagraph"/>
        <w:spacing w:after="0" w:line="240" w:lineRule="auto"/>
        <w:rPr>
          <w:rFonts w:ascii="Times New Roman" w:hAnsi="Times New Roman" w:cs="Times New Roman"/>
          <w:color w:val="0A2F41" w:themeColor="accent1" w:themeShade="80"/>
        </w:rPr>
      </w:pPr>
    </w:p>
    <w:p w14:paraId="43CEBAA9" w14:textId="053C4FC5" w:rsidR="00003BED" w:rsidRPr="001713F7" w:rsidRDefault="00003BED" w:rsidP="00D83A74">
      <w:pPr>
        <w:pStyle w:val="ListParagraph"/>
        <w:spacing w:after="0" w:line="240" w:lineRule="auto"/>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Since this</w:t>
      </w:r>
      <w:r w:rsidR="00D00DCC" w:rsidRPr="001713F7">
        <w:rPr>
          <w:rFonts w:ascii="Times New Roman" w:hAnsi="Times New Roman" w:cs="Times New Roman"/>
          <w:color w:val="0A2F41" w:themeColor="accent1" w:themeShade="80"/>
        </w:rPr>
        <w:t xml:space="preserve"> is a snapshot in time, </w:t>
      </w:r>
      <w:r w:rsidR="00D465AB" w:rsidRPr="001713F7">
        <w:rPr>
          <w:rFonts w:ascii="Times New Roman" w:hAnsi="Times New Roman" w:cs="Times New Roman"/>
          <w:color w:val="0A2F41" w:themeColor="accent1" w:themeShade="80"/>
        </w:rPr>
        <w:t>it</w:t>
      </w:r>
      <w:r w:rsidR="00EE7979" w:rsidRPr="001713F7">
        <w:rPr>
          <w:rFonts w:ascii="Times New Roman" w:hAnsi="Times New Roman" w:cs="Times New Roman"/>
          <w:color w:val="0A2F41" w:themeColor="accent1" w:themeShade="80"/>
        </w:rPr>
        <w:t xml:space="preserve">’s </w:t>
      </w:r>
      <w:r w:rsidR="00D465AB" w:rsidRPr="001713F7">
        <w:rPr>
          <w:rFonts w:ascii="Times New Roman" w:hAnsi="Times New Roman" w:cs="Times New Roman"/>
          <w:color w:val="0A2F41" w:themeColor="accent1" w:themeShade="80"/>
        </w:rPr>
        <w:t>not an exact calculation of budget need for units that have changes after the snapshot. The expectation is that units will cash manage those changes until the next snapshot i</w:t>
      </w:r>
      <w:r w:rsidR="00EE7979" w:rsidRPr="001713F7">
        <w:rPr>
          <w:rFonts w:ascii="Times New Roman" w:hAnsi="Times New Roman" w:cs="Times New Roman"/>
          <w:color w:val="0A2F41" w:themeColor="accent1" w:themeShade="80"/>
        </w:rPr>
        <w:t>s taken.</w:t>
      </w:r>
    </w:p>
    <w:p w14:paraId="392E122C" w14:textId="659DE3FB" w:rsidR="0074388F" w:rsidRPr="001713F7" w:rsidRDefault="0074388F" w:rsidP="00D83A74">
      <w:pPr>
        <w:pStyle w:val="ListParagraph"/>
        <w:spacing w:after="0" w:line="240" w:lineRule="auto"/>
        <w:ind w:left="360"/>
        <w:rPr>
          <w:rFonts w:ascii="Times New Roman" w:hAnsi="Times New Roman" w:cs="Times New Roman"/>
          <w:b/>
          <w:bCs/>
          <w:color w:val="0A2F41" w:themeColor="accent1" w:themeShade="80"/>
        </w:rPr>
      </w:pPr>
    </w:p>
    <w:p w14:paraId="287EB616" w14:textId="2C1C1494" w:rsidR="0074388F" w:rsidRPr="001713F7" w:rsidRDefault="0074388F" w:rsidP="00902050">
      <w:pPr>
        <w:pStyle w:val="ListParagraph"/>
        <w:spacing w:after="0" w:line="240" w:lineRule="auto"/>
        <w:rPr>
          <w:rFonts w:ascii="Times New Roman" w:hAnsi="Times New Roman" w:cs="Times New Roman"/>
          <w:color w:val="0A2F41" w:themeColor="accent1" w:themeShade="80"/>
          <w:u w:val="single"/>
        </w:rPr>
      </w:pPr>
      <w:r w:rsidRPr="001713F7">
        <w:rPr>
          <w:rFonts w:ascii="Times New Roman" w:hAnsi="Times New Roman" w:cs="Times New Roman"/>
          <w:color w:val="0A2F41" w:themeColor="accent1" w:themeShade="80"/>
          <w:u w:val="single"/>
        </w:rPr>
        <w:t>Mitigation Table</w:t>
      </w:r>
    </w:p>
    <w:p w14:paraId="6F2AF3D8" w14:textId="77777777" w:rsidR="0074388F" w:rsidRPr="001713F7" w:rsidRDefault="0074388F" w:rsidP="00902050">
      <w:pPr>
        <w:pStyle w:val="ListParagraph"/>
        <w:spacing w:after="0" w:line="240" w:lineRule="auto"/>
        <w:rPr>
          <w:rFonts w:ascii="Times New Roman" w:hAnsi="Times New Roman" w:cs="Times New Roman"/>
          <w:color w:val="0A2F41" w:themeColor="accent1" w:themeShade="80"/>
          <w:u w:val="single"/>
        </w:rPr>
      </w:pPr>
    </w:p>
    <w:p w14:paraId="7DF85877" w14:textId="77777777" w:rsidR="00014561" w:rsidRPr="001713F7" w:rsidRDefault="00014561" w:rsidP="00902050">
      <w:pPr>
        <w:pStyle w:val="ListParagraph"/>
        <w:spacing w:after="0" w:line="240" w:lineRule="auto"/>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Once the CBO has collected all recon templates and staffing snapshots, a Mitigation Table is created to show the breakdown of current benefits budgets (as of the snapshot date) versus the estimated costs of benefits for Filled Core FTE in the next fiscal year.</w:t>
      </w:r>
    </w:p>
    <w:p w14:paraId="3B66DA06" w14:textId="77777777" w:rsidR="00014561" w:rsidRPr="001713F7" w:rsidRDefault="00014561" w:rsidP="00902050">
      <w:pPr>
        <w:pStyle w:val="ListParagraph"/>
        <w:spacing w:after="0" w:line="240" w:lineRule="auto"/>
        <w:rPr>
          <w:rFonts w:ascii="Times New Roman" w:hAnsi="Times New Roman" w:cs="Times New Roman"/>
          <w:color w:val="0A2F41" w:themeColor="accent1" w:themeShade="80"/>
        </w:rPr>
      </w:pPr>
    </w:p>
    <w:p w14:paraId="27038615" w14:textId="25DF3569" w:rsidR="00014561" w:rsidRPr="001713F7" w:rsidRDefault="00014561" w:rsidP="00902050">
      <w:pPr>
        <w:pStyle w:val="ListParagraph"/>
        <w:spacing w:after="0" w:line="240" w:lineRule="auto"/>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The table displays the ending benefits budget from the prior mitigation cycle, highlights change</w:t>
      </w:r>
      <w:r w:rsidR="008B7B62" w:rsidRPr="001713F7">
        <w:rPr>
          <w:rFonts w:ascii="Times New Roman" w:hAnsi="Times New Roman" w:cs="Times New Roman"/>
          <w:color w:val="0A2F41" w:themeColor="accent1" w:themeShade="80"/>
        </w:rPr>
        <w:t>s</w:t>
      </w:r>
      <w:r w:rsidRPr="001713F7">
        <w:rPr>
          <w:rFonts w:ascii="Times New Roman" w:hAnsi="Times New Roman" w:cs="Times New Roman"/>
          <w:color w:val="0A2F41" w:themeColor="accent1" w:themeShade="80"/>
        </w:rPr>
        <w:t xml:space="preserve"> to the budget, and compares the Org’s benefits budget to the projected CBR costs for filled permanent core positions. The difference between the two is the mitigation amount.</w:t>
      </w:r>
    </w:p>
    <w:p w14:paraId="20D5D755" w14:textId="77777777" w:rsidR="00014561" w:rsidRPr="001713F7" w:rsidRDefault="00014561" w:rsidP="00902050">
      <w:pPr>
        <w:pStyle w:val="ListParagraph"/>
        <w:spacing w:after="0" w:line="240" w:lineRule="auto"/>
        <w:rPr>
          <w:rFonts w:ascii="Times New Roman" w:hAnsi="Times New Roman" w:cs="Times New Roman"/>
          <w:color w:val="0A2F41" w:themeColor="accent1" w:themeShade="80"/>
        </w:rPr>
      </w:pPr>
    </w:p>
    <w:p w14:paraId="3168902B" w14:textId="52E6FF68" w:rsidR="0074388F" w:rsidRPr="001713F7" w:rsidRDefault="00396EB4" w:rsidP="00902050">
      <w:pPr>
        <w:pStyle w:val="ListParagraph"/>
        <w:spacing w:after="0" w:line="240" w:lineRule="auto"/>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lastRenderedPageBreak/>
        <w:t xml:space="preserve">If CBR costs for filled </w:t>
      </w:r>
      <w:r w:rsidR="00014561" w:rsidRPr="001713F7">
        <w:rPr>
          <w:rFonts w:ascii="Times New Roman" w:hAnsi="Times New Roman" w:cs="Times New Roman"/>
          <w:color w:val="0A2F41" w:themeColor="accent1" w:themeShade="80"/>
        </w:rPr>
        <w:t>core funded positions</w:t>
      </w:r>
      <w:r w:rsidRPr="001713F7">
        <w:rPr>
          <w:rFonts w:ascii="Times New Roman" w:hAnsi="Times New Roman" w:cs="Times New Roman"/>
          <w:color w:val="0A2F41" w:themeColor="accent1" w:themeShade="80"/>
        </w:rPr>
        <w:t xml:space="preserve"> are expected to be higher than the Org’s benefits budget, then CBO provides additional perm funding. If CBR costs </w:t>
      </w:r>
      <w:r w:rsidR="00014561" w:rsidRPr="001713F7">
        <w:rPr>
          <w:rFonts w:ascii="Times New Roman" w:hAnsi="Times New Roman" w:cs="Times New Roman"/>
          <w:color w:val="0A2F41" w:themeColor="accent1" w:themeShade="80"/>
        </w:rPr>
        <w:t>are</w:t>
      </w:r>
      <w:r w:rsidRPr="001713F7">
        <w:rPr>
          <w:rFonts w:ascii="Times New Roman" w:hAnsi="Times New Roman" w:cs="Times New Roman"/>
          <w:color w:val="0A2F41" w:themeColor="accent1" w:themeShade="80"/>
        </w:rPr>
        <w:t xml:space="preserve"> expected to be lower than the Org’s benefits budget, then CBO pulls perm funding from the Org.</w:t>
      </w:r>
    </w:p>
    <w:p w14:paraId="32B125DE" w14:textId="77777777" w:rsidR="000624B6" w:rsidRPr="001713F7" w:rsidRDefault="000624B6" w:rsidP="00902050">
      <w:pPr>
        <w:pStyle w:val="ListParagraph"/>
        <w:spacing w:after="0" w:line="240" w:lineRule="auto"/>
        <w:rPr>
          <w:rFonts w:ascii="Times New Roman" w:hAnsi="Times New Roman" w:cs="Times New Roman"/>
          <w:color w:val="0A2F41" w:themeColor="accent1" w:themeShade="80"/>
        </w:rPr>
      </w:pPr>
    </w:p>
    <w:p w14:paraId="01FB1443" w14:textId="65269F21" w:rsidR="000624B6" w:rsidRPr="001713F7" w:rsidRDefault="006F1962" w:rsidP="006F1962">
      <w:pPr>
        <w:pStyle w:val="ListParagraph"/>
        <w:numPr>
          <w:ilvl w:val="0"/>
          <w:numId w:val="1"/>
        </w:numPr>
        <w:spacing w:after="0" w:line="240" w:lineRule="auto"/>
        <w:rPr>
          <w:rFonts w:ascii="Times New Roman" w:hAnsi="Times New Roman" w:cs="Times New Roman"/>
          <w:b/>
          <w:bCs/>
          <w:color w:val="0A2F41" w:themeColor="accent1" w:themeShade="80"/>
        </w:rPr>
      </w:pPr>
      <w:r w:rsidRPr="001713F7">
        <w:rPr>
          <w:rFonts w:ascii="Times New Roman" w:hAnsi="Times New Roman" w:cs="Times New Roman"/>
          <w:b/>
          <w:bCs/>
          <w:color w:val="0A2F41" w:themeColor="accent1" w:themeShade="80"/>
        </w:rPr>
        <w:t>Deadlines for CBR Mitigation Process</w:t>
      </w:r>
    </w:p>
    <w:p w14:paraId="24AFB08C" w14:textId="77777777" w:rsidR="006F1962" w:rsidRPr="001713F7" w:rsidRDefault="006F1962" w:rsidP="006F1962">
      <w:pPr>
        <w:pStyle w:val="ListParagraph"/>
        <w:spacing w:after="0" w:line="240" w:lineRule="auto"/>
        <w:ind w:left="360"/>
        <w:rPr>
          <w:rFonts w:ascii="Times New Roman" w:hAnsi="Times New Roman" w:cs="Times New Roman"/>
          <w:color w:val="0A2F41" w:themeColor="accent1" w:themeShade="80"/>
        </w:rPr>
      </w:pPr>
    </w:p>
    <w:p w14:paraId="0DECE739" w14:textId="03AD48CD" w:rsidR="00AC30CF" w:rsidRPr="001713F7" w:rsidRDefault="00F82C02" w:rsidP="003B3B9E">
      <w:pPr>
        <w:pStyle w:val="ListParagraph"/>
        <w:spacing w:after="0" w:line="240" w:lineRule="auto"/>
        <w:ind w:left="360"/>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 xml:space="preserve">In the early years of our campus transition to Oracle Budget, flexibility was provided for </w:t>
      </w:r>
      <w:r w:rsidR="00810350" w:rsidRPr="001713F7">
        <w:rPr>
          <w:rFonts w:ascii="Times New Roman" w:hAnsi="Times New Roman" w:cs="Times New Roman"/>
          <w:color w:val="0A2F41" w:themeColor="accent1" w:themeShade="80"/>
        </w:rPr>
        <w:t>adjusting</w:t>
      </w:r>
      <w:r w:rsidRPr="001713F7">
        <w:rPr>
          <w:rFonts w:ascii="Times New Roman" w:hAnsi="Times New Roman" w:cs="Times New Roman"/>
          <w:color w:val="0A2F41" w:themeColor="accent1" w:themeShade="80"/>
        </w:rPr>
        <w:t xml:space="preserve"> CBR mitigation templates. Now that we are acclimated to the system, templates are considered final once approved and the mitigation process has closed. No corrections or changes will be accepted after this point. Any shortfalls in budget needed to cover CBR expenses must be cash-handled by the Org.</w:t>
      </w:r>
    </w:p>
    <w:p w14:paraId="117D5925" w14:textId="77777777" w:rsidR="00664145" w:rsidRPr="001713F7" w:rsidRDefault="00664145" w:rsidP="003B3B9E">
      <w:pPr>
        <w:pStyle w:val="ListParagraph"/>
        <w:spacing w:after="0" w:line="240" w:lineRule="auto"/>
        <w:ind w:left="360"/>
        <w:rPr>
          <w:rFonts w:ascii="Times New Roman" w:hAnsi="Times New Roman" w:cs="Times New Roman"/>
          <w:color w:val="0A2F41" w:themeColor="accent1" w:themeShade="80"/>
        </w:rPr>
      </w:pPr>
    </w:p>
    <w:p w14:paraId="54272467" w14:textId="02264291" w:rsidR="00664145" w:rsidRPr="001713F7" w:rsidRDefault="00664145" w:rsidP="003B3B9E">
      <w:pPr>
        <w:pStyle w:val="ListParagraph"/>
        <w:spacing w:after="0" w:line="240" w:lineRule="auto"/>
        <w:ind w:left="360"/>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While specific dates will be communicated each year in the emailed CBR mitigation instructions, the general timeline is as follows:</w:t>
      </w:r>
    </w:p>
    <w:p w14:paraId="32B9948C" w14:textId="5F1E9870" w:rsidR="00291158" w:rsidRPr="001713F7" w:rsidRDefault="00291158" w:rsidP="00291158">
      <w:pPr>
        <w:pStyle w:val="ListParagraph"/>
        <w:spacing w:after="0" w:line="240" w:lineRule="auto"/>
        <w:ind w:left="360"/>
        <w:rPr>
          <w:rFonts w:ascii="Times New Roman" w:hAnsi="Times New Roman" w:cs="Times New Roman"/>
          <w:color w:val="0A2F41" w:themeColor="accent1" w:themeShade="80"/>
        </w:rPr>
      </w:pPr>
    </w:p>
    <w:p w14:paraId="14849B06" w14:textId="77777777" w:rsidR="00291158" w:rsidRPr="001713F7" w:rsidRDefault="00291158" w:rsidP="00291158">
      <w:pPr>
        <w:pStyle w:val="ListParagraph"/>
        <w:spacing w:after="0" w:line="240" w:lineRule="auto"/>
        <w:ind w:left="360"/>
        <w:rPr>
          <w:rFonts w:ascii="Times New Roman" w:hAnsi="Times New Roman" w:cs="Times New Roman"/>
          <w:color w:val="0A2F41" w:themeColor="accent1" w:themeShade="80"/>
        </w:rPr>
      </w:pPr>
    </w:p>
    <w:p w14:paraId="0CBE6D1A" w14:textId="0AFC7FB3" w:rsidR="00670DCF" w:rsidRPr="001713F7" w:rsidRDefault="00670DCF" w:rsidP="00670DCF">
      <w:pPr>
        <w:pStyle w:val="ListParagraph"/>
        <w:numPr>
          <w:ilvl w:val="0"/>
          <w:numId w:val="3"/>
        </w:numPr>
        <w:spacing w:after="0" w:line="240" w:lineRule="auto"/>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Late December – Staffing Snapshot captured</w:t>
      </w:r>
    </w:p>
    <w:p w14:paraId="3E3BF8B1" w14:textId="48486881" w:rsidR="00291158" w:rsidRPr="001713F7" w:rsidRDefault="00670DCF" w:rsidP="00670DCF">
      <w:pPr>
        <w:pStyle w:val="ListParagraph"/>
        <w:numPr>
          <w:ilvl w:val="0"/>
          <w:numId w:val="3"/>
        </w:numPr>
        <w:spacing w:after="0" w:line="240" w:lineRule="auto"/>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 xml:space="preserve">Late </w:t>
      </w:r>
      <w:r w:rsidR="00291158" w:rsidRPr="001713F7">
        <w:rPr>
          <w:rFonts w:ascii="Times New Roman" w:hAnsi="Times New Roman" w:cs="Times New Roman"/>
          <w:color w:val="0A2F41" w:themeColor="accent1" w:themeShade="80"/>
        </w:rPr>
        <w:t>January/</w:t>
      </w:r>
      <w:r w:rsidRPr="001713F7">
        <w:rPr>
          <w:rFonts w:ascii="Times New Roman" w:hAnsi="Times New Roman" w:cs="Times New Roman"/>
          <w:color w:val="0A2F41" w:themeColor="accent1" w:themeShade="80"/>
        </w:rPr>
        <w:t xml:space="preserve">Early </w:t>
      </w:r>
      <w:r w:rsidR="00291158" w:rsidRPr="001713F7">
        <w:rPr>
          <w:rFonts w:ascii="Times New Roman" w:hAnsi="Times New Roman" w:cs="Times New Roman"/>
          <w:color w:val="0A2F41" w:themeColor="accent1" w:themeShade="80"/>
        </w:rPr>
        <w:t>February – Templates distributed to Orgs</w:t>
      </w:r>
    </w:p>
    <w:p w14:paraId="0D5C05E4" w14:textId="38183AB7" w:rsidR="00670DCF" w:rsidRPr="001713F7" w:rsidRDefault="00005DA7" w:rsidP="00670DCF">
      <w:pPr>
        <w:pStyle w:val="ListParagraph"/>
        <w:numPr>
          <w:ilvl w:val="0"/>
          <w:numId w:val="3"/>
        </w:numPr>
        <w:spacing w:after="0" w:line="240" w:lineRule="auto"/>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 xml:space="preserve">February/March - </w:t>
      </w:r>
      <w:r w:rsidR="000E7835" w:rsidRPr="001713F7">
        <w:rPr>
          <w:rFonts w:ascii="Times New Roman" w:hAnsi="Times New Roman" w:cs="Times New Roman"/>
          <w:color w:val="0A2F41" w:themeColor="accent1" w:themeShade="80"/>
        </w:rPr>
        <w:t>1 month template submission period</w:t>
      </w:r>
    </w:p>
    <w:p w14:paraId="6E57FF84" w14:textId="7985CFA8" w:rsidR="000E7835" w:rsidRPr="001713F7" w:rsidRDefault="00436538" w:rsidP="00670DCF">
      <w:pPr>
        <w:pStyle w:val="ListParagraph"/>
        <w:numPr>
          <w:ilvl w:val="0"/>
          <w:numId w:val="3"/>
        </w:numPr>
        <w:spacing w:after="0" w:line="240" w:lineRule="auto"/>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 xml:space="preserve">1 Week Grace Period – Orgs must follow up if corrections are needed. Extensions </w:t>
      </w:r>
      <w:r w:rsidR="00DB17FD" w:rsidRPr="001713F7">
        <w:rPr>
          <w:rFonts w:ascii="Times New Roman" w:hAnsi="Times New Roman" w:cs="Times New Roman"/>
          <w:color w:val="0A2F41" w:themeColor="accent1" w:themeShade="80"/>
        </w:rPr>
        <w:t xml:space="preserve">to template submissions </w:t>
      </w:r>
      <w:r w:rsidRPr="001713F7">
        <w:rPr>
          <w:rFonts w:ascii="Times New Roman" w:hAnsi="Times New Roman" w:cs="Times New Roman"/>
          <w:color w:val="0A2F41" w:themeColor="accent1" w:themeShade="80"/>
        </w:rPr>
        <w:t xml:space="preserve">will only be granted under extenuating circumstances and this grace period </w:t>
      </w:r>
      <w:r w:rsidR="00D8423C" w:rsidRPr="001713F7">
        <w:rPr>
          <w:rFonts w:ascii="Times New Roman" w:hAnsi="Times New Roman" w:cs="Times New Roman"/>
          <w:color w:val="0A2F41" w:themeColor="accent1" w:themeShade="80"/>
        </w:rPr>
        <w:t>will be considered</w:t>
      </w:r>
      <w:r w:rsidR="00DB17FD" w:rsidRPr="001713F7">
        <w:rPr>
          <w:rFonts w:ascii="Times New Roman" w:hAnsi="Times New Roman" w:cs="Times New Roman"/>
          <w:color w:val="0A2F41" w:themeColor="accent1" w:themeShade="80"/>
        </w:rPr>
        <w:t xml:space="preserve"> th</w:t>
      </w:r>
      <w:r w:rsidR="00D8423C" w:rsidRPr="001713F7">
        <w:rPr>
          <w:rFonts w:ascii="Times New Roman" w:hAnsi="Times New Roman" w:cs="Times New Roman"/>
          <w:color w:val="0A2F41" w:themeColor="accent1" w:themeShade="80"/>
        </w:rPr>
        <w:t>e</w:t>
      </w:r>
      <w:r w:rsidR="00DB17FD" w:rsidRPr="001713F7">
        <w:rPr>
          <w:rFonts w:ascii="Times New Roman" w:hAnsi="Times New Roman" w:cs="Times New Roman"/>
          <w:color w:val="0A2F41" w:themeColor="accent1" w:themeShade="80"/>
        </w:rPr>
        <w:t xml:space="preserve"> extension allowance.</w:t>
      </w:r>
    </w:p>
    <w:p w14:paraId="453A49ED" w14:textId="62B3CE3B" w:rsidR="00D8423C" w:rsidRPr="001713F7" w:rsidRDefault="00D8423C" w:rsidP="00670DCF">
      <w:pPr>
        <w:pStyle w:val="ListParagraph"/>
        <w:numPr>
          <w:ilvl w:val="0"/>
          <w:numId w:val="3"/>
        </w:numPr>
        <w:spacing w:after="0" w:line="240" w:lineRule="auto"/>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April/May – Mitigation Table distributed to Orgs</w:t>
      </w:r>
    </w:p>
    <w:p w14:paraId="15670BE3" w14:textId="2C3A14F9" w:rsidR="006F7195" w:rsidRPr="001713F7" w:rsidRDefault="006F7195" w:rsidP="00670DCF">
      <w:pPr>
        <w:pStyle w:val="ListParagraph"/>
        <w:numPr>
          <w:ilvl w:val="0"/>
          <w:numId w:val="3"/>
        </w:numPr>
        <w:spacing w:after="0" w:line="240" w:lineRule="auto"/>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1 Week Review Period – Orgs may review calculations for mitigation amounts. No changes to staffing snapshots or templates permitted.</w:t>
      </w:r>
    </w:p>
    <w:p w14:paraId="756C8575" w14:textId="4161C710" w:rsidR="006F7195" w:rsidRPr="001713F7" w:rsidRDefault="006F7195" w:rsidP="00670DCF">
      <w:pPr>
        <w:pStyle w:val="ListParagraph"/>
        <w:numPr>
          <w:ilvl w:val="0"/>
          <w:numId w:val="3"/>
        </w:numPr>
        <w:spacing w:after="0" w:line="240" w:lineRule="auto"/>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July (new fiscal year) – Mitigation amounts transacted in Oracle Budget</w:t>
      </w:r>
    </w:p>
    <w:p w14:paraId="1DC06B08" w14:textId="77777777" w:rsidR="00291158" w:rsidRPr="001713F7" w:rsidRDefault="00291158" w:rsidP="00291158">
      <w:pPr>
        <w:pStyle w:val="ListParagraph"/>
        <w:spacing w:after="0" w:line="240" w:lineRule="auto"/>
        <w:ind w:left="360"/>
        <w:rPr>
          <w:rFonts w:ascii="Times New Roman" w:hAnsi="Times New Roman" w:cs="Times New Roman"/>
          <w:color w:val="0A2F41" w:themeColor="accent1" w:themeShade="80"/>
        </w:rPr>
      </w:pPr>
    </w:p>
    <w:p w14:paraId="495F6641" w14:textId="77777777" w:rsidR="00291158" w:rsidRPr="001713F7" w:rsidRDefault="00291158" w:rsidP="00291158">
      <w:pPr>
        <w:pStyle w:val="ListParagraph"/>
        <w:spacing w:after="0" w:line="240" w:lineRule="auto"/>
        <w:ind w:left="360"/>
        <w:rPr>
          <w:rFonts w:ascii="Times New Roman" w:hAnsi="Times New Roman" w:cs="Times New Roman"/>
          <w:color w:val="0A2F41" w:themeColor="accent1" w:themeShade="80"/>
        </w:rPr>
      </w:pPr>
    </w:p>
    <w:p w14:paraId="76C7DB08" w14:textId="77777777" w:rsidR="0074388F" w:rsidRPr="001713F7" w:rsidRDefault="0074388F" w:rsidP="006F7195">
      <w:pPr>
        <w:spacing w:after="0" w:line="240" w:lineRule="auto"/>
        <w:rPr>
          <w:rFonts w:ascii="Times New Roman" w:hAnsi="Times New Roman" w:cs="Times New Roman"/>
          <w:b/>
          <w:bCs/>
          <w:color w:val="0A2F41" w:themeColor="accent1" w:themeShade="80"/>
        </w:rPr>
      </w:pPr>
    </w:p>
    <w:p w14:paraId="32F3B390" w14:textId="7076A518" w:rsidR="00387A0D" w:rsidRPr="001713F7" w:rsidRDefault="00014561" w:rsidP="00D83A74">
      <w:pPr>
        <w:pStyle w:val="ListParagraph"/>
        <w:numPr>
          <w:ilvl w:val="0"/>
          <w:numId w:val="1"/>
        </w:numPr>
        <w:spacing w:after="0" w:line="240" w:lineRule="auto"/>
        <w:rPr>
          <w:rFonts w:ascii="Times New Roman" w:hAnsi="Times New Roman" w:cs="Times New Roman"/>
          <w:b/>
          <w:bCs/>
          <w:color w:val="0A2F41" w:themeColor="accent1" w:themeShade="80"/>
        </w:rPr>
      </w:pPr>
      <w:r w:rsidRPr="001713F7">
        <w:rPr>
          <w:rFonts w:ascii="Times New Roman" w:hAnsi="Times New Roman" w:cs="Times New Roman"/>
          <w:b/>
          <w:bCs/>
          <w:color w:val="0A2F41" w:themeColor="accent1" w:themeShade="80"/>
        </w:rPr>
        <w:t>Managing Benefits Budgets</w:t>
      </w:r>
    </w:p>
    <w:p w14:paraId="635BDB89" w14:textId="77777777" w:rsidR="00014561" w:rsidRPr="001713F7" w:rsidRDefault="00014561" w:rsidP="00D83A74">
      <w:pPr>
        <w:pStyle w:val="ListParagraph"/>
        <w:spacing w:after="0" w:line="240" w:lineRule="auto"/>
        <w:ind w:left="360"/>
        <w:rPr>
          <w:rFonts w:ascii="Times New Roman" w:hAnsi="Times New Roman" w:cs="Times New Roman"/>
          <w:b/>
          <w:bCs/>
          <w:color w:val="0A2F41" w:themeColor="accent1" w:themeShade="80"/>
        </w:rPr>
      </w:pPr>
    </w:p>
    <w:p w14:paraId="2D66F9E1" w14:textId="4DFB258C" w:rsidR="00014561" w:rsidRPr="001713F7" w:rsidRDefault="0078121E" w:rsidP="00D83A74">
      <w:pPr>
        <w:pStyle w:val="ListParagraph"/>
        <w:spacing w:after="0" w:line="240" w:lineRule="auto"/>
        <w:ind w:left="360"/>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The</w:t>
      </w:r>
      <w:r w:rsidR="00014561" w:rsidRPr="001713F7">
        <w:rPr>
          <w:rFonts w:ascii="Times New Roman" w:hAnsi="Times New Roman" w:cs="Times New Roman"/>
          <w:color w:val="0A2F41" w:themeColor="accent1" w:themeShade="80"/>
        </w:rPr>
        <w:t xml:space="preserve"> benefits pool is owned and managed by the CBO. Departments should not move permanent benefit funds out of BC20 and BC30, as these funds are not discretionary.</w:t>
      </w:r>
    </w:p>
    <w:p w14:paraId="3A055469" w14:textId="77777777" w:rsidR="00BF42CC" w:rsidRPr="001713F7" w:rsidRDefault="00BF42CC" w:rsidP="00D83A74">
      <w:pPr>
        <w:pStyle w:val="ListParagraph"/>
        <w:spacing w:after="0" w:line="240" w:lineRule="auto"/>
        <w:ind w:left="360"/>
        <w:rPr>
          <w:rFonts w:ascii="Times New Roman" w:hAnsi="Times New Roman" w:cs="Times New Roman"/>
          <w:color w:val="0A2F41" w:themeColor="accent1" w:themeShade="80"/>
        </w:rPr>
      </w:pPr>
    </w:p>
    <w:p w14:paraId="5D4CFA0D" w14:textId="19A4599E" w:rsidR="00BF42CC" w:rsidRPr="001713F7" w:rsidRDefault="00B42743" w:rsidP="00D83A74">
      <w:pPr>
        <w:pStyle w:val="ListParagraph"/>
        <w:spacing w:after="0" w:line="240" w:lineRule="auto"/>
        <w:ind w:left="360"/>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 xml:space="preserve">The unit must augment the benefits pool (move budget from a non-salary/non-benefit BC to BC20/BC30) </w:t>
      </w:r>
      <w:r w:rsidR="008237B7" w:rsidRPr="001713F7">
        <w:rPr>
          <w:rFonts w:ascii="Times New Roman" w:hAnsi="Times New Roman" w:cs="Times New Roman"/>
          <w:color w:val="0A2F41" w:themeColor="accent1" w:themeShade="80"/>
        </w:rPr>
        <w:t>if it has created new positions on core funds</w:t>
      </w:r>
      <w:r w:rsidR="00B942E7" w:rsidRPr="001713F7">
        <w:rPr>
          <w:rFonts w:ascii="Times New Roman" w:hAnsi="Times New Roman" w:cs="Times New Roman"/>
          <w:color w:val="0A2F41" w:themeColor="accent1" w:themeShade="80"/>
        </w:rPr>
        <w:t xml:space="preserve"> or needs to fund a salary action not covered by central resources.</w:t>
      </w:r>
      <w:r w:rsidR="008B27D3" w:rsidRPr="001713F7">
        <w:rPr>
          <w:rFonts w:ascii="Times New Roman" w:hAnsi="Times New Roman" w:cs="Times New Roman"/>
          <w:color w:val="0A2F41" w:themeColor="accent1" w:themeShade="80"/>
        </w:rPr>
        <w:t xml:space="preserve"> When doing so no perm budget deficits should be created in any other BC.</w:t>
      </w:r>
    </w:p>
    <w:p w14:paraId="649F0134" w14:textId="77777777" w:rsidR="00014561" w:rsidRPr="001713F7" w:rsidRDefault="00014561" w:rsidP="00D83A74">
      <w:pPr>
        <w:pStyle w:val="ListParagraph"/>
        <w:spacing w:after="0" w:line="240" w:lineRule="auto"/>
        <w:ind w:left="360"/>
        <w:rPr>
          <w:rFonts w:ascii="Times New Roman" w:hAnsi="Times New Roman" w:cs="Times New Roman"/>
          <w:color w:val="0A2F41" w:themeColor="accent1" w:themeShade="80"/>
        </w:rPr>
      </w:pPr>
    </w:p>
    <w:p w14:paraId="275B6BA3" w14:textId="70E5B389" w:rsidR="00014561" w:rsidRPr="001713F7" w:rsidRDefault="00014561" w:rsidP="00D83A74">
      <w:pPr>
        <w:pStyle w:val="ListParagraph"/>
        <w:spacing w:after="0" w:line="240" w:lineRule="auto"/>
        <w:ind w:left="360"/>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Departments may move benefits funds between activities as part of managing staffing, but the funds must stay in BC20 or BC30.</w:t>
      </w:r>
    </w:p>
    <w:p w14:paraId="2189B959" w14:textId="77777777" w:rsidR="00020A3F" w:rsidRPr="001713F7" w:rsidRDefault="00020A3F" w:rsidP="00D83A74">
      <w:pPr>
        <w:pStyle w:val="ListParagraph"/>
        <w:spacing w:after="0" w:line="240" w:lineRule="auto"/>
        <w:ind w:left="360"/>
        <w:rPr>
          <w:rFonts w:ascii="Times New Roman" w:hAnsi="Times New Roman" w:cs="Times New Roman"/>
          <w:color w:val="0A2F41" w:themeColor="accent1" w:themeShade="80"/>
        </w:rPr>
      </w:pPr>
    </w:p>
    <w:p w14:paraId="7AD41F5A" w14:textId="741EB132" w:rsidR="00014561" w:rsidRPr="001713F7" w:rsidRDefault="00020A3F" w:rsidP="00D83A74">
      <w:pPr>
        <w:pStyle w:val="ListParagraph"/>
        <w:spacing w:after="0" w:line="240" w:lineRule="auto"/>
        <w:ind w:left="360"/>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If a position is filled or vacated after the Staffing Snapshot date, do not adjust the permanent benefits budget. The Org should manage the cash impact locally. Temporary funding in BC20 and BC30, resulting from prior-year rollover balances, can be used to cover these changes. The permanent budget for the position will be updated in the following year’s snapshot.</w:t>
      </w:r>
    </w:p>
    <w:p w14:paraId="029CDB65" w14:textId="77777777" w:rsidR="00887BC1" w:rsidRPr="001713F7" w:rsidRDefault="00887BC1" w:rsidP="00D83A74">
      <w:pPr>
        <w:spacing w:after="0" w:line="240" w:lineRule="auto"/>
        <w:rPr>
          <w:rFonts w:ascii="Times New Roman" w:hAnsi="Times New Roman" w:cs="Times New Roman"/>
          <w:b/>
          <w:bCs/>
          <w:color w:val="0A2F41" w:themeColor="accent1" w:themeShade="80"/>
        </w:rPr>
      </w:pPr>
    </w:p>
    <w:p w14:paraId="5751E2B5" w14:textId="725AE1FF" w:rsidR="00887BC1" w:rsidRPr="001713F7" w:rsidRDefault="0078121E" w:rsidP="00D83A74">
      <w:pPr>
        <w:pStyle w:val="ListParagraph"/>
        <w:numPr>
          <w:ilvl w:val="0"/>
          <w:numId w:val="1"/>
        </w:numPr>
        <w:spacing w:after="0" w:line="240" w:lineRule="auto"/>
        <w:rPr>
          <w:rFonts w:ascii="Times New Roman" w:hAnsi="Times New Roman" w:cs="Times New Roman"/>
          <w:b/>
          <w:bCs/>
          <w:color w:val="0A2F41" w:themeColor="accent1" w:themeShade="80"/>
        </w:rPr>
      </w:pPr>
      <w:r w:rsidRPr="001713F7">
        <w:rPr>
          <w:rFonts w:ascii="Times New Roman" w:hAnsi="Times New Roman" w:cs="Times New Roman"/>
          <w:b/>
          <w:bCs/>
          <w:color w:val="0A2F41" w:themeColor="accent1" w:themeShade="80"/>
        </w:rPr>
        <w:t>Staffing Cuts</w:t>
      </w:r>
    </w:p>
    <w:p w14:paraId="7CC15C47" w14:textId="77777777" w:rsidR="0078121E" w:rsidRPr="001713F7" w:rsidRDefault="0078121E" w:rsidP="00D83A74">
      <w:pPr>
        <w:pStyle w:val="ListParagraph"/>
        <w:spacing w:after="0" w:line="240" w:lineRule="auto"/>
        <w:ind w:left="360"/>
        <w:rPr>
          <w:rFonts w:ascii="Times New Roman" w:hAnsi="Times New Roman" w:cs="Times New Roman"/>
          <w:b/>
          <w:bCs/>
          <w:color w:val="0A2F41" w:themeColor="accent1" w:themeShade="80"/>
        </w:rPr>
      </w:pPr>
    </w:p>
    <w:p w14:paraId="265B35C1" w14:textId="0911D9A1" w:rsidR="0078121E" w:rsidRPr="001713F7" w:rsidRDefault="0078121E" w:rsidP="00D83A74">
      <w:pPr>
        <w:spacing w:after="0" w:line="240" w:lineRule="auto"/>
        <w:ind w:left="360"/>
        <w:rPr>
          <w:rFonts w:ascii="Times New Roman" w:hAnsi="Times New Roman" w:cs="Times New Roman"/>
          <w:b/>
          <w:bCs/>
          <w:color w:val="0A2F41" w:themeColor="accent1" w:themeShade="80"/>
        </w:rPr>
      </w:pPr>
      <w:r w:rsidRPr="001713F7">
        <w:rPr>
          <w:rFonts w:ascii="Times New Roman" w:hAnsi="Times New Roman" w:cs="Times New Roman"/>
          <w:color w:val="0A2F41" w:themeColor="accent1" w:themeShade="80"/>
        </w:rPr>
        <w:t>Orgs may choose to eliminate core-funded positions as part of budget reductions. For these positions, the Org is permitted to reclaim the associated permanent benefits funding. The Org should notify the CBO of any staffing cuts to core-funded positions and obtain approval before moving permanent budget out of BC20 or BC30.</w:t>
      </w:r>
    </w:p>
    <w:p w14:paraId="08A3E151" w14:textId="77777777" w:rsidR="00887BC1" w:rsidRPr="001713F7" w:rsidRDefault="00887BC1" w:rsidP="00D83A74">
      <w:pPr>
        <w:spacing w:after="0" w:line="240" w:lineRule="auto"/>
        <w:rPr>
          <w:rFonts w:ascii="Times New Roman" w:hAnsi="Times New Roman" w:cs="Times New Roman"/>
          <w:b/>
          <w:bCs/>
          <w:color w:val="0A2F41" w:themeColor="accent1" w:themeShade="80"/>
        </w:rPr>
      </w:pPr>
    </w:p>
    <w:p w14:paraId="699503EC" w14:textId="508700AF" w:rsidR="00887BC1" w:rsidRPr="001713F7" w:rsidRDefault="00887BC1" w:rsidP="00D83A74">
      <w:pPr>
        <w:pStyle w:val="ListParagraph"/>
        <w:numPr>
          <w:ilvl w:val="0"/>
          <w:numId w:val="1"/>
        </w:numPr>
        <w:spacing w:after="0" w:line="240" w:lineRule="auto"/>
        <w:rPr>
          <w:rFonts w:ascii="Times New Roman" w:hAnsi="Times New Roman" w:cs="Times New Roman"/>
          <w:b/>
          <w:bCs/>
          <w:color w:val="0A2F41" w:themeColor="accent1" w:themeShade="80"/>
        </w:rPr>
      </w:pPr>
      <w:r w:rsidRPr="001713F7">
        <w:rPr>
          <w:rFonts w:ascii="Times New Roman" w:hAnsi="Times New Roman" w:cs="Times New Roman"/>
          <w:b/>
          <w:bCs/>
          <w:color w:val="0A2F41" w:themeColor="accent1" w:themeShade="80"/>
        </w:rPr>
        <w:t xml:space="preserve">Temporary </w:t>
      </w:r>
      <w:r w:rsidR="0078121E" w:rsidRPr="001713F7">
        <w:rPr>
          <w:rFonts w:ascii="Times New Roman" w:hAnsi="Times New Roman" w:cs="Times New Roman"/>
          <w:b/>
          <w:bCs/>
          <w:color w:val="0A2F41" w:themeColor="accent1" w:themeShade="80"/>
        </w:rPr>
        <w:t>A</w:t>
      </w:r>
      <w:r w:rsidRPr="001713F7">
        <w:rPr>
          <w:rFonts w:ascii="Times New Roman" w:hAnsi="Times New Roman" w:cs="Times New Roman"/>
          <w:b/>
          <w:bCs/>
          <w:color w:val="0A2F41" w:themeColor="accent1" w:themeShade="80"/>
        </w:rPr>
        <w:t xml:space="preserve">ppointments </w:t>
      </w:r>
    </w:p>
    <w:p w14:paraId="7B0268F5" w14:textId="77777777" w:rsidR="00D83A74" w:rsidRPr="001713F7" w:rsidRDefault="00D83A74" w:rsidP="00D83A74">
      <w:pPr>
        <w:spacing w:after="0" w:line="240" w:lineRule="auto"/>
        <w:ind w:left="360"/>
        <w:rPr>
          <w:rFonts w:ascii="Times New Roman" w:hAnsi="Times New Roman" w:cs="Times New Roman"/>
          <w:color w:val="0A2F41" w:themeColor="accent1" w:themeShade="80"/>
        </w:rPr>
      </w:pPr>
    </w:p>
    <w:p w14:paraId="76CAAE06" w14:textId="76E99B94" w:rsidR="00D83A74" w:rsidRPr="001713F7" w:rsidRDefault="00D83A74" w:rsidP="00D83A74">
      <w:pPr>
        <w:spacing w:after="0" w:line="240" w:lineRule="auto"/>
        <w:ind w:left="360"/>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Employees may hold more than one appointment but should never have more than 1.0 active FTE. If an employee has an inactive core-funded position (for which they are not currently paid) and a temporary or active core-funded position within the same or another Org, benefits funding is provided only for the active position. The inactive position does not receive benefits funding until it becomes active.</w:t>
      </w:r>
    </w:p>
    <w:p w14:paraId="52A352DC" w14:textId="77777777" w:rsidR="00D83A74" w:rsidRPr="001713F7" w:rsidRDefault="00D83A74" w:rsidP="00D83A74">
      <w:pPr>
        <w:spacing w:after="0" w:line="240" w:lineRule="auto"/>
        <w:ind w:left="360"/>
        <w:rPr>
          <w:rFonts w:ascii="Times New Roman" w:hAnsi="Times New Roman" w:cs="Times New Roman"/>
          <w:color w:val="0A2F41" w:themeColor="accent1" w:themeShade="80"/>
        </w:rPr>
      </w:pPr>
    </w:p>
    <w:p w14:paraId="090D8EA5" w14:textId="21ED3232" w:rsidR="0075723E" w:rsidRPr="001713F7" w:rsidRDefault="00D83A74" w:rsidP="00810350">
      <w:pPr>
        <w:spacing w:after="0" w:line="240" w:lineRule="auto"/>
        <w:ind w:left="360"/>
        <w:rPr>
          <w:rFonts w:ascii="Times New Roman" w:hAnsi="Times New Roman" w:cs="Times New Roman"/>
          <w:color w:val="0A2F41" w:themeColor="accent1" w:themeShade="80"/>
        </w:rPr>
      </w:pPr>
      <w:r w:rsidRPr="001713F7">
        <w:rPr>
          <w:rFonts w:ascii="Times New Roman" w:hAnsi="Times New Roman" w:cs="Times New Roman"/>
          <w:color w:val="0A2F41" w:themeColor="accent1" w:themeShade="80"/>
        </w:rPr>
        <w:t>For example, a faculty member may take an administrative appointment within their Org or another Org. During the administrative appointment, CBR funding covers the benefits costs for the core-funded admin position. Since the faculty appointment is inactive during this time, it does not receive benefits funding.</w:t>
      </w:r>
    </w:p>
    <w:sectPr w:rsidR="0075723E" w:rsidRPr="001713F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14515" w14:textId="77777777" w:rsidR="00264F9F" w:rsidRDefault="00264F9F" w:rsidP="001713F7">
      <w:pPr>
        <w:spacing w:after="0" w:line="240" w:lineRule="auto"/>
      </w:pPr>
      <w:r>
        <w:separator/>
      </w:r>
    </w:p>
  </w:endnote>
  <w:endnote w:type="continuationSeparator" w:id="0">
    <w:p w14:paraId="396B9818" w14:textId="77777777" w:rsidR="00264F9F" w:rsidRDefault="00264F9F" w:rsidP="0017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6D18" w14:textId="77777777" w:rsidR="001713F7" w:rsidRDefault="00171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A114" w14:textId="77777777" w:rsidR="001713F7" w:rsidRDefault="00171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950B" w14:textId="77777777" w:rsidR="001713F7" w:rsidRDefault="00171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81FF0" w14:textId="77777777" w:rsidR="00264F9F" w:rsidRDefault="00264F9F" w:rsidP="001713F7">
      <w:pPr>
        <w:spacing w:after="0" w:line="240" w:lineRule="auto"/>
      </w:pPr>
      <w:r>
        <w:separator/>
      </w:r>
    </w:p>
  </w:footnote>
  <w:footnote w:type="continuationSeparator" w:id="0">
    <w:p w14:paraId="5E6AAE1C" w14:textId="77777777" w:rsidR="00264F9F" w:rsidRDefault="00264F9F" w:rsidP="00171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D9A8" w14:textId="77777777" w:rsidR="001713F7" w:rsidRDefault="00171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C148" w14:textId="77777777" w:rsidR="001713F7" w:rsidRDefault="00171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398B" w14:textId="77777777" w:rsidR="001713F7" w:rsidRDefault="00171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06F"/>
    <w:multiLevelType w:val="hybridMultilevel"/>
    <w:tmpl w:val="8A3CB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322718"/>
    <w:multiLevelType w:val="hybridMultilevel"/>
    <w:tmpl w:val="6B6A4F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9849FB"/>
    <w:multiLevelType w:val="hybridMultilevel"/>
    <w:tmpl w:val="22DE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3047793">
    <w:abstractNumId w:val="1"/>
  </w:num>
  <w:num w:numId="2" w16cid:durableId="476530979">
    <w:abstractNumId w:val="2"/>
  </w:num>
  <w:num w:numId="3" w16cid:durableId="21555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DDC"/>
    <w:rsid w:val="00003BED"/>
    <w:rsid w:val="00005DA7"/>
    <w:rsid w:val="00014561"/>
    <w:rsid w:val="00020A3F"/>
    <w:rsid w:val="000624B6"/>
    <w:rsid w:val="000E57B1"/>
    <w:rsid w:val="000E7835"/>
    <w:rsid w:val="000F575B"/>
    <w:rsid w:val="001432FF"/>
    <w:rsid w:val="00153D35"/>
    <w:rsid w:val="001544B1"/>
    <w:rsid w:val="001706B0"/>
    <w:rsid w:val="001713F7"/>
    <w:rsid w:val="001B149A"/>
    <w:rsid w:val="0021716E"/>
    <w:rsid w:val="0023146B"/>
    <w:rsid w:val="00241DDC"/>
    <w:rsid w:val="00264F9F"/>
    <w:rsid w:val="00285546"/>
    <w:rsid w:val="00291158"/>
    <w:rsid w:val="00295908"/>
    <w:rsid w:val="002C1EEC"/>
    <w:rsid w:val="002D46D5"/>
    <w:rsid w:val="00311ECA"/>
    <w:rsid w:val="00321BCB"/>
    <w:rsid w:val="00387A0D"/>
    <w:rsid w:val="00396EB4"/>
    <w:rsid w:val="003B3B9E"/>
    <w:rsid w:val="003D7DBE"/>
    <w:rsid w:val="00436538"/>
    <w:rsid w:val="004825DA"/>
    <w:rsid w:val="004A61D3"/>
    <w:rsid w:val="00521C48"/>
    <w:rsid w:val="0055082D"/>
    <w:rsid w:val="005814C8"/>
    <w:rsid w:val="006112B0"/>
    <w:rsid w:val="00664145"/>
    <w:rsid w:val="00670DCF"/>
    <w:rsid w:val="00670E2E"/>
    <w:rsid w:val="006E5BD3"/>
    <w:rsid w:val="006F1962"/>
    <w:rsid w:val="006F7195"/>
    <w:rsid w:val="00703C5A"/>
    <w:rsid w:val="0074388F"/>
    <w:rsid w:val="007503A4"/>
    <w:rsid w:val="0075723E"/>
    <w:rsid w:val="0078121E"/>
    <w:rsid w:val="007C3090"/>
    <w:rsid w:val="00810350"/>
    <w:rsid w:val="008237B7"/>
    <w:rsid w:val="00832317"/>
    <w:rsid w:val="00887BC1"/>
    <w:rsid w:val="008B27D3"/>
    <w:rsid w:val="008B7B62"/>
    <w:rsid w:val="008C0EA1"/>
    <w:rsid w:val="008E1D2A"/>
    <w:rsid w:val="00902050"/>
    <w:rsid w:val="00943A2E"/>
    <w:rsid w:val="009967D2"/>
    <w:rsid w:val="009C052E"/>
    <w:rsid w:val="00A16E9E"/>
    <w:rsid w:val="00A652B6"/>
    <w:rsid w:val="00A96EEC"/>
    <w:rsid w:val="00AC30CF"/>
    <w:rsid w:val="00B42743"/>
    <w:rsid w:val="00B717F8"/>
    <w:rsid w:val="00B73545"/>
    <w:rsid w:val="00B856CD"/>
    <w:rsid w:val="00B942E7"/>
    <w:rsid w:val="00BA21E8"/>
    <w:rsid w:val="00BF42CC"/>
    <w:rsid w:val="00BF499B"/>
    <w:rsid w:val="00C321C8"/>
    <w:rsid w:val="00C37B84"/>
    <w:rsid w:val="00C9679E"/>
    <w:rsid w:val="00D00DCC"/>
    <w:rsid w:val="00D465AB"/>
    <w:rsid w:val="00D64DD6"/>
    <w:rsid w:val="00D74CB0"/>
    <w:rsid w:val="00D83A74"/>
    <w:rsid w:val="00D8423C"/>
    <w:rsid w:val="00D9072B"/>
    <w:rsid w:val="00DA2039"/>
    <w:rsid w:val="00DB17FD"/>
    <w:rsid w:val="00DC7721"/>
    <w:rsid w:val="00DE4D41"/>
    <w:rsid w:val="00DF5750"/>
    <w:rsid w:val="00E30439"/>
    <w:rsid w:val="00E6376D"/>
    <w:rsid w:val="00ED34DC"/>
    <w:rsid w:val="00ED44AC"/>
    <w:rsid w:val="00EE7979"/>
    <w:rsid w:val="00F3302F"/>
    <w:rsid w:val="00F82C02"/>
    <w:rsid w:val="00FF0459"/>
    <w:rsid w:val="00FF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639A6"/>
  <w15:chartTrackingRefBased/>
  <w15:docId w15:val="{E69F7083-42D7-4574-8F36-F9797875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DDC"/>
    <w:rPr>
      <w:rFonts w:eastAsiaTheme="majorEastAsia" w:cstheme="majorBidi"/>
      <w:color w:val="272727" w:themeColor="text1" w:themeTint="D8"/>
    </w:rPr>
  </w:style>
  <w:style w:type="paragraph" w:styleId="Title">
    <w:name w:val="Title"/>
    <w:basedOn w:val="Normal"/>
    <w:next w:val="Normal"/>
    <w:link w:val="TitleChar"/>
    <w:uiPriority w:val="10"/>
    <w:qFormat/>
    <w:rsid w:val="00241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DDC"/>
    <w:pPr>
      <w:spacing w:before="160"/>
      <w:jc w:val="center"/>
    </w:pPr>
    <w:rPr>
      <w:i/>
      <w:iCs/>
      <w:color w:val="404040" w:themeColor="text1" w:themeTint="BF"/>
    </w:rPr>
  </w:style>
  <w:style w:type="character" w:customStyle="1" w:styleId="QuoteChar">
    <w:name w:val="Quote Char"/>
    <w:basedOn w:val="DefaultParagraphFont"/>
    <w:link w:val="Quote"/>
    <w:uiPriority w:val="29"/>
    <w:rsid w:val="00241DDC"/>
    <w:rPr>
      <w:i/>
      <w:iCs/>
      <w:color w:val="404040" w:themeColor="text1" w:themeTint="BF"/>
    </w:rPr>
  </w:style>
  <w:style w:type="paragraph" w:styleId="ListParagraph">
    <w:name w:val="List Paragraph"/>
    <w:basedOn w:val="Normal"/>
    <w:uiPriority w:val="34"/>
    <w:qFormat/>
    <w:rsid w:val="00241DDC"/>
    <w:pPr>
      <w:ind w:left="720"/>
      <w:contextualSpacing/>
    </w:pPr>
  </w:style>
  <w:style w:type="character" w:styleId="IntenseEmphasis">
    <w:name w:val="Intense Emphasis"/>
    <w:basedOn w:val="DefaultParagraphFont"/>
    <w:uiPriority w:val="21"/>
    <w:qFormat/>
    <w:rsid w:val="00241DDC"/>
    <w:rPr>
      <w:i/>
      <w:iCs/>
      <w:color w:val="0F4761" w:themeColor="accent1" w:themeShade="BF"/>
    </w:rPr>
  </w:style>
  <w:style w:type="paragraph" w:styleId="IntenseQuote">
    <w:name w:val="Intense Quote"/>
    <w:basedOn w:val="Normal"/>
    <w:next w:val="Normal"/>
    <w:link w:val="IntenseQuoteChar"/>
    <w:uiPriority w:val="30"/>
    <w:qFormat/>
    <w:rsid w:val="00241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DDC"/>
    <w:rPr>
      <w:i/>
      <w:iCs/>
      <w:color w:val="0F4761" w:themeColor="accent1" w:themeShade="BF"/>
    </w:rPr>
  </w:style>
  <w:style w:type="character" w:styleId="IntenseReference">
    <w:name w:val="Intense Reference"/>
    <w:basedOn w:val="DefaultParagraphFont"/>
    <w:uiPriority w:val="32"/>
    <w:qFormat/>
    <w:rsid w:val="00241DDC"/>
    <w:rPr>
      <w:b/>
      <w:bCs/>
      <w:smallCaps/>
      <w:color w:val="0F4761" w:themeColor="accent1" w:themeShade="BF"/>
      <w:spacing w:val="5"/>
    </w:rPr>
  </w:style>
  <w:style w:type="paragraph" w:styleId="Header">
    <w:name w:val="header"/>
    <w:basedOn w:val="Normal"/>
    <w:link w:val="HeaderChar"/>
    <w:uiPriority w:val="99"/>
    <w:unhideWhenUsed/>
    <w:rsid w:val="00171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3F7"/>
  </w:style>
  <w:style w:type="paragraph" w:styleId="Footer">
    <w:name w:val="footer"/>
    <w:basedOn w:val="Normal"/>
    <w:link w:val="FooterChar"/>
    <w:uiPriority w:val="99"/>
    <w:unhideWhenUsed/>
    <w:rsid w:val="00171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26CC5293DFBB41AE6CADACB5D9A8D2" ma:contentTypeVersion="18" ma:contentTypeDescription="Create a new document." ma:contentTypeScope="" ma:versionID="62820e7272cdd068b207fb4e422d36b0">
  <xsd:schema xmlns:xsd="http://www.w3.org/2001/XMLSchema" xmlns:xs="http://www.w3.org/2001/XMLSchema" xmlns:p="http://schemas.microsoft.com/office/2006/metadata/properties" xmlns:ns2="bc2eab57-ae16-487e-a3ec-dfbf0a68cf24" xmlns:ns3="1ed9a0e3-c801-471d-a172-dc0d75f7aea4" targetNamespace="http://schemas.microsoft.com/office/2006/metadata/properties" ma:root="true" ma:fieldsID="4d69bb25f6105dd43d97dcc684715e32" ns2:_="" ns3:_="">
    <xsd:import namespace="bc2eab57-ae16-487e-a3ec-dfbf0a68cf24"/>
    <xsd:import namespace="1ed9a0e3-c801-471d-a172-dc0d75f7ae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eab57-ae16-487e-a3ec-dfbf0a68c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9a0e3-c801-471d-a172-dc0d75f7aea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a20307-aaa8-4312-8319-875333666614}" ma:internalName="TaxCatchAll" ma:showField="CatchAllData" ma:web="1ed9a0e3-c801-471d-a172-dc0d75f7a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2eab57-ae16-487e-a3ec-dfbf0a68cf24">
      <Terms xmlns="http://schemas.microsoft.com/office/infopath/2007/PartnerControls"/>
    </lcf76f155ced4ddcb4097134ff3c332f>
    <TaxCatchAll xmlns="1ed9a0e3-c801-471d-a172-dc0d75f7aea4" xsi:nil="true"/>
  </documentManagement>
</p:properties>
</file>

<file path=customXml/itemProps1.xml><?xml version="1.0" encoding="utf-8"?>
<ds:datastoreItem xmlns:ds="http://schemas.openxmlformats.org/officeDocument/2006/customXml" ds:itemID="{086FAA8D-0067-4939-969F-D1AF36364605}">
  <ds:schemaRefs>
    <ds:schemaRef ds:uri="http://schemas.microsoft.com/sharepoint/v3/contenttype/forms"/>
  </ds:schemaRefs>
</ds:datastoreItem>
</file>

<file path=customXml/itemProps2.xml><?xml version="1.0" encoding="utf-8"?>
<ds:datastoreItem xmlns:ds="http://schemas.openxmlformats.org/officeDocument/2006/customXml" ds:itemID="{00926906-F66C-4706-848F-AA83EB12A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eab57-ae16-487e-a3ec-dfbf0a68cf24"/>
    <ds:schemaRef ds:uri="1ed9a0e3-c801-471d-a172-dc0d75f7a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29098-E13D-4ABC-BC2A-115A3AE21B73}">
  <ds:schemaRefs>
    <ds:schemaRef ds:uri="http://schemas.microsoft.com/office/2006/metadata/properties"/>
    <ds:schemaRef ds:uri="http://schemas.microsoft.com/office/infopath/2007/PartnerControls"/>
    <ds:schemaRef ds:uri="bc2eab57-ae16-487e-a3ec-dfbf0a68cf24"/>
    <ds:schemaRef ds:uri="1ed9a0e3-c801-471d-a172-dc0d75f7aea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Valencia</dc:creator>
  <cp:keywords/>
  <dc:description/>
  <cp:lastModifiedBy>Kristina Hartley</cp:lastModifiedBy>
  <cp:revision>2</cp:revision>
  <dcterms:created xsi:type="dcterms:W3CDTF">2025-09-10T21:26:00Z</dcterms:created>
  <dcterms:modified xsi:type="dcterms:W3CDTF">2025-09-10T21:26:00Z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0x0101004B26CC5293DFBB41AE6CADACB5D9A8D2</vt:lpwstr>
  </property>
  <property fmtid="{D5CDD505-2E9C-101B-9397-08002B2CF9AE}" pid="3" name="MediaServiceImageTags">
    <vt:lpwstr/>
  </property>
</Properties>
</file>